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80"/>
        <w:gridCol w:w="2440"/>
      </w:tblGrid>
      <w:tr w:rsidR="007A375F" w:rsidRPr="00A42B72" w14:paraId="4F81A7B8" w14:textId="77777777" w:rsidTr="00A42B72">
        <w:trPr>
          <w:trHeight w:val="274"/>
          <w:jc w:val="center"/>
        </w:trPr>
        <w:tc>
          <w:tcPr>
            <w:tcW w:w="10320" w:type="dxa"/>
            <w:gridSpan w:val="2"/>
            <w:shd w:val="clear" w:color="auto" w:fill="FFFF00"/>
            <w:vAlign w:val="center"/>
            <w:hideMark/>
          </w:tcPr>
          <w:p w14:paraId="150DDA70" w14:textId="1491C267" w:rsidR="007A375F" w:rsidRPr="00A42B72" w:rsidRDefault="007A375F" w:rsidP="008A1385">
            <w:pPr>
              <w:spacing w:after="0" w:line="240" w:lineRule="auto"/>
              <w:jc w:val="center"/>
              <w:rPr>
                <w:rFonts w:ascii="Arial" w:eastAsia="Times New Roman" w:hAnsi="Arial" w:cs="Arial"/>
                <w:b/>
                <w:bCs/>
                <w:color w:val="000000"/>
                <w:kern w:val="0"/>
                <w:sz w:val="20"/>
                <w:szCs w:val="20"/>
                <w:lang w:eastAsia="tr-TR"/>
                <w14:ligatures w14:val="none"/>
              </w:rPr>
            </w:pPr>
            <w:r w:rsidRPr="00A42B72">
              <w:rPr>
                <w:rFonts w:ascii="Arial" w:eastAsia="Times New Roman" w:hAnsi="Arial" w:cs="Arial"/>
                <w:b/>
                <w:bCs/>
                <w:color w:val="000000"/>
                <w:kern w:val="0"/>
                <w:sz w:val="20"/>
                <w:szCs w:val="20"/>
                <w:lang w:eastAsia="tr-TR"/>
                <w14:ligatures w14:val="none"/>
              </w:rPr>
              <w:t>854 sayılı Deniz İş Kanunu Gereği Uygulanacak</w:t>
            </w:r>
            <w:r w:rsidR="008A1385">
              <w:rPr>
                <w:rFonts w:ascii="Arial" w:eastAsia="Times New Roman" w:hAnsi="Arial" w:cs="Arial"/>
                <w:b/>
                <w:bCs/>
                <w:color w:val="000000"/>
                <w:kern w:val="0"/>
                <w:sz w:val="20"/>
                <w:szCs w:val="20"/>
                <w:lang w:eastAsia="tr-TR"/>
                <w14:ligatures w14:val="none"/>
              </w:rPr>
              <w:t xml:space="preserve"> </w:t>
            </w:r>
            <w:r w:rsidRPr="00A42B72">
              <w:rPr>
                <w:rFonts w:ascii="Arial" w:eastAsia="Times New Roman" w:hAnsi="Arial" w:cs="Arial"/>
                <w:b/>
                <w:bCs/>
                <w:color w:val="000000"/>
                <w:kern w:val="0"/>
                <w:sz w:val="20"/>
                <w:szCs w:val="20"/>
                <w:lang w:eastAsia="tr-TR"/>
                <w14:ligatures w14:val="none"/>
              </w:rPr>
              <w:t>2026 Yılı Para Cezaları (TL)</w:t>
            </w:r>
          </w:p>
        </w:tc>
      </w:tr>
      <w:tr w:rsidR="007A375F" w:rsidRPr="00A42B72" w14:paraId="1CC180FC" w14:textId="77777777" w:rsidTr="00A42B72">
        <w:trPr>
          <w:trHeight w:val="91"/>
          <w:jc w:val="center"/>
        </w:trPr>
        <w:tc>
          <w:tcPr>
            <w:tcW w:w="7880" w:type="dxa"/>
            <w:shd w:val="clear" w:color="auto" w:fill="FFC72B"/>
            <w:vAlign w:val="center"/>
          </w:tcPr>
          <w:p w14:paraId="3C0C1E0D" w14:textId="4D555FDB" w:rsidR="007A375F" w:rsidRPr="00A42B72" w:rsidRDefault="00A42B72" w:rsidP="00A42B72">
            <w:pPr>
              <w:spacing w:after="0" w:line="240" w:lineRule="auto"/>
              <w:jc w:val="center"/>
              <w:rPr>
                <w:rFonts w:ascii="Arial" w:eastAsia="Times New Roman" w:hAnsi="Arial" w:cs="Arial"/>
                <w:b/>
                <w:bCs/>
                <w:color w:val="333333"/>
                <w:kern w:val="0"/>
                <w:sz w:val="20"/>
                <w:szCs w:val="20"/>
                <w:lang w:eastAsia="tr-TR"/>
                <w14:ligatures w14:val="none"/>
              </w:rPr>
            </w:pPr>
            <w:r w:rsidRPr="00A42B72">
              <w:rPr>
                <w:rFonts w:ascii="Arial" w:eastAsia="Times New Roman" w:hAnsi="Arial" w:cs="Arial"/>
                <w:b/>
                <w:bCs/>
                <w:color w:val="333333"/>
                <w:kern w:val="0"/>
                <w:sz w:val="20"/>
                <w:szCs w:val="20"/>
                <w:lang w:eastAsia="tr-TR"/>
                <w14:ligatures w14:val="none"/>
              </w:rPr>
              <w:t>Fiil</w:t>
            </w:r>
          </w:p>
        </w:tc>
        <w:tc>
          <w:tcPr>
            <w:tcW w:w="2440" w:type="dxa"/>
            <w:shd w:val="clear" w:color="auto" w:fill="FFC72B"/>
            <w:vAlign w:val="center"/>
          </w:tcPr>
          <w:p w14:paraId="37E9BB41" w14:textId="062D7FC5" w:rsidR="007A375F" w:rsidRPr="00A42B72" w:rsidRDefault="00A42B72" w:rsidP="00A42B72">
            <w:pPr>
              <w:spacing w:after="0" w:line="240" w:lineRule="auto"/>
              <w:jc w:val="center"/>
              <w:rPr>
                <w:rFonts w:ascii="Arial" w:eastAsia="Times New Roman" w:hAnsi="Arial" w:cs="Arial"/>
                <w:b/>
                <w:bCs/>
                <w:color w:val="333333"/>
                <w:kern w:val="0"/>
                <w:sz w:val="20"/>
                <w:szCs w:val="20"/>
                <w:lang w:eastAsia="tr-TR"/>
                <w14:ligatures w14:val="none"/>
              </w:rPr>
            </w:pPr>
            <w:r w:rsidRPr="00A42B72">
              <w:rPr>
                <w:rFonts w:ascii="Arial" w:eastAsia="Times New Roman" w:hAnsi="Arial" w:cs="Arial"/>
                <w:b/>
                <w:bCs/>
                <w:color w:val="333333"/>
                <w:kern w:val="0"/>
                <w:sz w:val="20"/>
                <w:szCs w:val="20"/>
                <w:lang w:eastAsia="tr-TR"/>
                <w14:ligatures w14:val="none"/>
              </w:rPr>
              <w:t>Ceza (TL)</w:t>
            </w:r>
          </w:p>
        </w:tc>
      </w:tr>
      <w:tr w:rsidR="00A42B72" w:rsidRPr="00A42B72" w14:paraId="097F2283" w14:textId="77777777" w:rsidTr="00A42B72">
        <w:trPr>
          <w:trHeight w:val="137"/>
          <w:jc w:val="center"/>
        </w:trPr>
        <w:tc>
          <w:tcPr>
            <w:tcW w:w="7880" w:type="dxa"/>
            <w:shd w:val="clear" w:color="000000" w:fill="FFFFFF"/>
            <w:vAlign w:val="center"/>
          </w:tcPr>
          <w:p w14:paraId="2F3F1205" w14:textId="01A8A197" w:rsidR="00A42B72" w:rsidRPr="00A42B72" w:rsidRDefault="00A42B72" w:rsidP="00A42B72">
            <w:pPr>
              <w:spacing w:after="0" w:line="240" w:lineRule="auto"/>
              <w:jc w:val="both"/>
              <w:rPr>
                <w:rFonts w:ascii="Arial" w:eastAsia="Times New Roman" w:hAnsi="Arial" w:cs="Arial"/>
                <w:color w:val="333333"/>
                <w:kern w:val="0"/>
                <w:sz w:val="20"/>
                <w:szCs w:val="20"/>
                <w:lang w:eastAsia="tr-TR"/>
                <w14:ligatures w14:val="none"/>
              </w:rPr>
            </w:pPr>
            <w:r w:rsidRPr="00A42B72">
              <w:rPr>
                <w:rFonts w:ascii="Arial" w:eastAsia="Times New Roman" w:hAnsi="Arial" w:cs="Arial"/>
                <w:color w:val="333333"/>
                <w:kern w:val="0"/>
                <w:sz w:val="20"/>
                <w:szCs w:val="20"/>
                <w:lang w:eastAsia="tr-TR"/>
                <w14:ligatures w14:val="none"/>
              </w:rPr>
              <w:t xml:space="preserve">Gemi adamları ile yazılı akit yapmamak, işinden ayrılan gemi adamına çalışma belgesi vermemek </w:t>
            </w:r>
          </w:p>
        </w:tc>
        <w:tc>
          <w:tcPr>
            <w:tcW w:w="2440" w:type="dxa"/>
            <w:shd w:val="clear" w:color="000000" w:fill="FFFFFF"/>
            <w:vAlign w:val="center"/>
          </w:tcPr>
          <w:p w14:paraId="21A31C3D" w14:textId="3D4BCCC3" w:rsidR="00A42B72" w:rsidRPr="00A42B72" w:rsidRDefault="00A42B72" w:rsidP="00A42B72">
            <w:pPr>
              <w:spacing w:after="0" w:line="240" w:lineRule="auto"/>
              <w:jc w:val="center"/>
              <w:rPr>
                <w:rFonts w:ascii="Arial" w:eastAsia="Times New Roman" w:hAnsi="Arial" w:cs="Arial"/>
                <w:color w:val="333333"/>
                <w:kern w:val="0"/>
                <w:sz w:val="20"/>
                <w:szCs w:val="20"/>
                <w:lang w:eastAsia="tr-TR"/>
                <w14:ligatures w14:val="none"/>
              </w:rPr>
            </w:pPr>
            <w:r w:rsidRPr="00A42B72">
              <w:rPr>
                <w:rFonts w:ascii="Arial" w:eastAsia="Times New Roman" w:hAnsi="Arial" w:cs="Arial"/>
                <w:color w:val="333333"/>
                <w:kern w:val="0"/>
                <w:sz w:val="20"/>
                <w:szCs w:val="20"/>
                <w:lang w:eastAsia="tr-TR"/>
                <w14:ligatures w14:val="none"/>
              </w:rPr>
              <w:t>5 İşçiye Kadar: 45.278</w:t>
            </w:r>
            <w:r w:rsidRPr="00A42B72">
              <w:rPr>
                <w:rFonts w:ascii="Arial" w:eastAsia="Times New Roman" w:hAnsi="Arial" w:cs="Arial"/>
                <w:color w:val="333333"/>
                <w:kern w:val="0"/>
                <w:sz w:val="20"/>
                <w:szCs w:val="20"/>
                <w:lang w:eastAsia="tr-TR"/>
                <w14:ligatures w14:val="none"/>
              </w:rPr>
              <w:br/>
              <w:t>5 İşçiden Fazla: 90.669</w:t>
            </w:r>
          </w:p>
        </w:tc>
      </w:tr>
      <w:tr w:rsidR="00A42B72" w:rsidRPr="00A42B72" w14:paraId="67D89D10" w14:textId="77777777" w:rsidTr="00A42B72">
        <w:trPr>
          <w:trHeight w:val="229"/>
          <w:jc w:val="center"/>
        </w:trPr>
        <w:tc>
          <w:tcPr>
            <w:tcW w:w="7880" w:type="dxa"/>
            <w:shd w:val="clear" w:color="auto" w:fill="FFFFFF" w:themeFill="background1"/>
            <w:vAlign w:val="center"/>
            <w:hideMark/>
          </w:tcPr>
          <w:p w14:paraId="467E0B41" w14:textId="4D080DDD" w:rsidR="00A42B72" w:rsidRPr="00A42B72" w:rsidRDefault="00A42B72" w:rsidP="00A42B72">
            <w:pPr>
              <w:spacing w:after="0" w:line="240" w:lineRule="auto"/>
              <w:jc w:val="both"/>
              <w:rPr>
                <w:rFonts w:ascii="Arial" w:eastAsia="Times New Roman" w:hAnsi="Arial" w:cs="Arial"/>
                <w:color w:val="333333"/>
                <w:kern w:val="0"/>
                <w:sz w:val="20"/>
                <w:szCs w:val="20"/>
                <w:lang w:eastAsia="tr-TR"/>
                <w14:ligatures w14:val="none"/>
              </w:rPr>
            </w:pPr>
            <w:r w:rsidRPr="00A42B72">
              <w:rPr>
                <w:rFonts w:ascii="Arial" w:eastAsia="Times New Roman" w:hAnsi="Arial" w:cs="Arial"/>
                <w:color w:val="333333"/>
                <w:kern w:val="0"/>
                <w:sz w:val="20"/>
                <w:szCs w:val="20"/>
                <w:lang w:eastAsia="tr-TR"/>
                <w14:ligatures w14:val="none"/>
              </w:rPr>
              <w:t xml:space="preserve">Engelli ve eski hükümlü gemi adamı çalıştırma ile ilgili kanun ve yönetmelik hükümlerine uymamak </w:t>
            </w:r>
            <w:r w:rsidRPr="00A42B72">
              <w:rPr>
                <w:rFonts w:ascii="Arial" w:eastAsia="Times New Roman" w:hAnsi="Arial" w:cs="Arial"/>
                <w:b/>
                <w:bCs/>
                <w:color w:val="333333"/>
                <w:kern w:val="0"/>
                <w:sz w:val="20"/>
                <w:szCs w:val="20"/>
                <w:lang w:eastAsia="tr-TR"/>
                <w14:ligatures w14:val="none"/>
              </w:rPr>
              <w:t>(çalıştırılmayan her engelli veya eski hükümlü ve çalıştırılmayan her ay için)</w:t>
            </w:r>
          </w:p>
        </w:tc>
        <w:tc>
          <w:tcPr>
            <w:tcW w:w="2440" w:type="dxa"/>
            <w:shd w:val="clear" w:color="auto" w:fill="FFFFFF" w:themeFill="background1"/>
            <w:vAlign w:val="center"/>
            <w:hideMark/>
          </w:tcPr>
          <w:p w14:paraId="6C828FEE" w14:textId="77777777" w:rsidR="00A42B72" w:rsidRPr="00A42B72" w:rsidRDefault="00A42B72" w:rsidP="00A42B72">
            <w:pPr>
              <w:spacing w:after="0" w:line="240" w:lineRule="auto"/>
              <w:jc w:val="center"/>
              <w:rPr>
                <w:rFonts w:ascii="Arial" w:eastAsia="Times New Roman" w:hAnsi="Arial" w:cs="Arial"/>
                <w:color w:val="333333"/>
                <w:kern w:val="0"/>
                <w:sz w:val="20"/>
                <w:szCs w:val="20"/>
                <w:lang w:eastAsia="tr-TR"/>
                <w14:ligatures w14:val="none"/>
              </w:rPr>
            </w:pPr>
            <w:r w:rsidRPr="00A42B72">
              <w:rPr>
                <w:rFonts w:ascii="Arial" w:eastAsia="Times New Roman" w:hAnsi="Arial" w:cs="Arial"/>
                <w:color w:val="333333"/>
                <w:kern w:val="0"/>
                <w:sz w:val="20"/>
                <w:szCs w:val="20"/>
                <w:lang w:eastAsia="tr-TR"/>
                <w14:ligatures w14:val="none"/>
              </w:rPr>
              <w:t>60.408</w:t>
            </w:r>
          </w:p>
        </w:tc>
      </w:tr>
      <w:tr w:rsidR="00A42B72" w:rsidRPr="00A42B72" w14:paraId="57970856" w14:textId="77777777" w:rsidTr="00A42B72">
        <w:trPr>
          <w:trHeight w:val="238"/>
          <w:jc w:val="center"/>
        </w:trPr>
        <w:tc>
          <w:tcPr>
            <w:tcW w:w="7880" w:type="dxa"/>
            <w:shd w:val="clear" w:color="000000" w:fill="FFFFFF"/>
            <w:vAlign w:val="center"/>
            <w:hideMark/>
          </w:tcPr>
          <w:p w14:paraId="7C0E5589" w14:textId="5797FADD" w:rsidR="00A42B72" w:rsidRPr="00A42B72" w:rsidRDefault="00A42B72" w:rsidP="00A42B72">
            <w:pPr>
              <w:spacing w:after="0" w:line="240" w:lineRule="auto"/>
              <w:jc w:val="both"/>
              <w:rPr>
                <w:rFonts w:ascii="Arial" w:eastAsia="Times New Roman" w:hAnsi="Arial" w:cs="Arial"/>
                <w:color w:val="333333"/>
                <w:kern w:val="0"/>
                <w:sz w:val="20"/>
                <w:szCs w:val="20"/>
                <w:lang w:eastAsia="tr-TR"/>
                <w14:ligatures w14:val="none"/>
              </w:rPr>
            </w:pPr>
            <w:r w:rsidRPr="00A42B72">
              <w:rPr>
                <w:rFonts w:ascii="Arial" w:eastAsia="Times New Roman" w:hAnsi="Arial" w:cs="Arial"/>
                <w:color w:val="333333"/>
                <w:kern w:val="0"/>
                <w:sz w:val="20"/>
                <w:szCs w:val="20"/>
                <w:lang w:eastAsia="tr-TR"/>
                <w14:ligatures w14:val="none"/>
              </w:rPr>
              <w:t>Gemi adamının kıdem tazminatını, fazla çalışma ücretini, ücretini zamanında ve tam olarak ödememek, iaşe veya nakden ödeme zorunluluğuna uymamak, asgari ücretten aşağı ücret ödemek</w:t>
            </w:r>
          </w:p>
        </w:tc>
        <w:tc>
          <w:tcPr>
            <w:tcW w:w="2440" w:type="dxa"/>
            <w:shd w:val="clear" w:color="000000" w:fill="FFFFFF"/>
            <w:vAlign w:val="center"/>
            <w:hideMark/>
          </w:tcPr>
          <w:p w14:paraId="4CF46A18" w14:textId="77777777" w:rsidR="00A42B72" w:rsidRPr="00A42B72" w:rsidRDefault="00A42B72" w:rsidP="00A42B72">
            <w:pPr>
              <w:spacing w:after="0" w:line="240" w:lineRule="auto"/>
              <w:jc w:val="center"/>
              <w:rPr>
                <w:rFonts w:ascii="Arial" w:eastAsia="Times New Roman" w:hAnsi="Arial" w:cs="Arial"/>
                <w:color w:val="333333"/>
                <w:kern w:val="0"/>
                <w:sz w:val="20"/>
                <w:szCs w:val="20"/>
                <w:lang w:eastAsia="tr-TR"/>
                <w14:ligatures w14:val="none"/>
              </w:rPr>
            </w:pPr>
            <w:r w:rsidRPr="00A42B72">
              <w:rPr>
                <w:rFonts w:ascii="Arial" w:eastAsia="Times New Roman" w:hAnsi="Arial" w:cs="Arial"/>
                <w:color w:val="333333"/>
                <w:kern w:val="0"/>
                <w:sz w:val="20"/>
                <w:szCs w:val="20"/>
                <w:lang w:eastAsia="tr-TR"/>
                <w14:ligatures w14:val="none"/>
              </w:rPr>
              <w:t>30.138</w:t>
            </w:r>
          </w:p>
        </w:tc>
      </w:tr>
      <w:tr w:rsidR="00A42B72" w:rsidRPr="00A42B72" w14:paraId="27BF6FED" w14:textId="77777777" w:rsidTr="00A42B72">
        <w:trPr>
          <w:trHeight w:val="107"/>
          <w:jc w:val="center"/>
        </w:trPr>
        <w:tc>
          <w:tcPr>
            <w:tcW w:w="7880" w:type="dxa"/>
            <w:shd w:val="clear" w:color="auto" w:fill="FFFFFF" w:themeFill="background1"/>
            <w:vAlign w:val="center"/>
            <w:hideMark/>
          </w:tcPr>
          <w:p w14:paraId="5827C17A" w14:textId="389279B8" w:rsidR="00A42B72" w:rsidRPr="00A42B72" w:rsidRDefault="00A42B72" w:rsidP="00A42B72">
            <w:pPr>
              <w:spacing w:after="0" w:line="240" w:lineRule="auto"/>
              <w:jc w:val="both"/>
              <w:rPr>
                <w:rFonts w:ascii="Arial" w:eastAsia="Times New Roman" w:hAnsi="Arial" w:cs="Arial"/>
                <w:color w:val="333333"/>
                <w:kern w:val="0"/>
                <w:sz w:val="20"/>
                <w:szCs w:val="20"/>
                <w:lang w:eastAsia="tr-TR"/>
                <w14:ligatures w14:val="none"/>
              </w:rPr>
            </w:pPr>
            <w:r w:rsidRPr="00A42B72">
              <w:rPr>
                <w:rFonts w:ascii="Arial" w:eastAsia="Times New Roman" w:hAnsi="Arial" w:cs="Arial"/>
                <w:color w:val="333333"/>
                <w:kern w:val="0"/>
                <w:sz w:val="20"/>
                <w:szCs w:val="20"/>
                <w:lang w:eastAsia="tr-TR"/>
                <w14:ligatures w14:val="none"/>
              </w:rPr>
              <w:t xml:space="preserve">Gemi adamının iade zorunluluğuna uymamak, iş sürelerine uymamak </w:t>
            </w:r>
          </w:p>
        </w:tc>
        <w:tc>
          <w:tcPr>
            <w:tcW w:w="2440" w:type="dxa"/>
            <w:shd w:val="clear" w:color="auto" w:fill="FFFFFF" w:themeFill="background1"/>
            <w:vAlign w:val="center"/>
            <w:hideMark/>
          </w:tcPr>
          <w:p w14:paraId="0836574A" w14:textId="77777777" w:rsidR="00A42B72" w:rsidRPr="00A42B72" w:rsidRDefault="00A42B72" w:rsidP="00A42B72">
            <w:pPr>
              <w:spacing w:after="0" w:line="240" w:lineRule="auto"/>
              <w:jc w:val="center"/>
              <w:rPr>
                <w:rFonts w:ascii="Arial" w:eastAsia="Times New Roman" w:hAnsi="Arial" w:cs="Arial"/>
                <w:color w:val="333333"/>
                <w:kern w:val="0"/>
                <w:sz w:val="20"/>
                <w:szCs w:val="20"/>
                <w:lang w:eastAsia="tr-TR"/>
                <w14:ligatures w14:val="none"/>
              </w:rPr>
            </w:pPr>
            <w:r w:rsidRPr="00A42B72">
              <w:rPr>
                <w:rFonts w:ascii="Arial" w:eastAsia="Times New Roman" w:hAnsi="Arial" w:cs="Arial"/>
                <w:color w:val="333333"/>
                <w:kern w:val="0"/>
                <w:sz w:val="20"/>
                <w:szCs w:val="20"/>
                <w:lang w:eastAsia="tr-TR"/>
                <w14:ligatures w14:val="none"/>
              </w:rPr>
              <w:t>30.138</w:t>
            </w:r>
          </w:p>
        </w:tc>
      </w:tr>
      <w:tr w:rsidR="00A42B72" w:rsidRPr="00A42B72" w14:paraId="4FF64323" w14:textId="77777777" w:rsidTr="00A42B72">
        <w:trPr>
          <w:trHeight w:val="294"/>
          <w:jc w:val="center"/>
        </w:trPr>
        <w:tc>
          <w:tcPr>
            <w:tcW w:w="7880" w:type="dxa"/>
            <w:shd w:val="clear" w:color="000000" w:fill="FFFFFF"/>
            <w:vAlign w:val="center"/>
            <w:hideMark/>
          </w:tcPr>
          <w:p w14:paraId="763599DB" w14:textId="3AC4E911" w:rsidR="00A42B72" w:rsidRPr="00A42B72" w:rsidRDefault="00A42B72" w:rsidP="00A42B72">
            <w:pPr>
              <w:spacing w:after="0" w:line="240" w:lineRule="auto"/>
              <w:jc w:val="both"/>
              <w:rPr>
                <w:rFonts w:ascii="Arial" w:eastAsia="Times New Roman" w:hAnsi="Arial" w:cs="Arial"/>
                <w:color w:val="333333"/>
                <w:kern w:val="0"/>
                <w:sz w:val="20"/>
                <w:szCs w:val="20"/>
                <w:lang w:eastAsia="tr-TR"/>
                <w14:ligatures w14:val="none"/>
              </w:rPr>
            </w:pPr>
            <w:r w:rsidRPr="00A42B72">
              <w:rPr>
                <w:rFonts w:ascii="Arial" w:eastAsia="Times New Roman" w:hAnsi="Arial" w:cs="Arial"/>
                <w:color w:val="333333"/>
                <w:kern w:val="0"/>
                <w:sz w:val="20"/>
                <w:szCs w:val="20"/>
                <w:lang w:eastAsia="tr-TR"/>
                <w14:ligatures w14:val="none"/>
              </w:rPr>
              <w:t xml:space="preserve">Gemi adamının ücret, prim, ikramiye ve bu nitelikteki her çeşit istihkakını zorunlu tutulduğu halde özel olarak açılan banka hesabına yatırmamak </w:t>
            </w:r>
            <w:r w:rsidRPr="00A42B72">
              <w:rPr>
                <w:rFonts w:ascii="Arial" w:eastAsia="Times New Roman" w:hAnsi="Arial" w:cs="Arial"/>
                <w:b/>
                <w:bCs/>
                <w:color w:val="333333"/>
                <w:kern w:val="0"/>
                <w:sz w:val="20"/>
                <w:szCs w:val="20"/>
                <w:lang w:eastAsia="tr-TR"/>
                <w14:ligatures w14:val="none"/>
              </w:rPr>
              <w:t>(bu durumda olan her gemi adamı için)</w:t>
            </w:r>
            <w:r w:rsidRPr="00A42B72">
              <w:rPr>
                <w:rFonts w:ascii="Arial" w:eastAsia="Times New Roman" w:hAnsi="Arial" w:cs="Arial"/>
                <w:color w:val="333333"/>
                <w:kern w:val="0"/>
                <w:sz w:val="20"/>
                <w:szCs w:val="20"/>
                <w:lang w:eastAsia="tr-TR"/>
                <w14:ligatures w14:val="none"/>
              </w:rPr>
              <w:t xml:space="preserve"> </w:t>
            </w:r>
          </w:p>
        </w:tc>
        <w:tc>
          <w:tcPr>
            <w:tcW w:w="2440" w:type="dxa"/>
            <w:shd w:val="clear" w:color="000000" w:fill="FFFFFF"/>
            <w:noWrap/>
            <w:vAlign w:val="center"/>
            <w:hideMark/>
          </w:tcPr>
          <w:p w14:paraId="015C60B2" w14:textId="77777777" w:rsidR="00A42B72" w:rsidRPr="00A42B72" w:rsidRDefault="00A42B72" w:rsidP="00A42B72">
            <w:pPr>
              <w:spacing w:after="0" w:line="240" w:lineRule="auto"/>
              <w:jc w:val="center"/>
              <w:rPr>
                <w:rFonts w:ascii="Arial" w:eastAsia="Times New Roman" w:hAnsi="Arial" w:cs="Arial"/>
                <w:color w:val="333333"/>
                <w:kern w:val="0"/>
                <w:sz w:val="20"/>
                <w:szCs w:val="20"/>
                <w:lang w:eastAsia="tr-TR"/>
                <w14:ligatures w14:val="none"/>
              </w:rPr>
            </w:pPr>
            <w:r w:rsidRPr="00A42B72">
              <w:rPr>
                <w:rFonts w:ascii="Arial" w:eastAsia="Times New Roman" w:hAnsi="Arial" w:cs="Arial"/>
                <w:color w:val="333333"/>
                <w:kern w:val="0"/>
                <w:sz w:val="20"/>
                <w:szCs w:val="20"/>
                <w:lang w:eastAsia="tr-TR"/>
                <w14:ligatures w14:val="none"/>
              </w:rPr>
              <w:t>41.532</w:t>
            </w:r>
          </w:p>
        </w:tc>
      </w:tr>
      <w:tr w:rsidR="00A42B72" w:rsidRPr="00A42B72" w14:paraId="5B68F0A0" w14:textId="77777777" w:rsidTr="00A42B72">
        <w:trPr>
          <w:trHeight w:val="162"/>
          <w:jc w:val="center"/>
        </w:trPr>
        <w:tc>
          <w:tcPr>
            <w:tcW w:w="7880" w:type="dxa"/>
            <w:shd w:val="clear" w:color="000000" w:fill="FFFFFF"/>
            <w:vAlign w:val="center"/>
            <w:hideMark/>
          </w:tcPr>
          <w:p w14:paraId="357A7194" w14:textId="77777777" w:rsidR="00A42B72" w:rsidRPr="00A42B72" w:rsidRDefault="00A42B72" w:rsidP="00A42B72">
            <w:pPr>
              <w:spacing w:after="0" w:line="240" w:lineRule="auto"/>
              <w:jc w:val="both"/>
              <w:rPr>
                <w:rFonts w:ascii="Arial" w:eastAsia="Times New Roman" w:hAnsi="Arial" w:cs="Arial"/>
                <w:color w:val="333333"/>
                <w:kern w:val="0"/>
                <w:sz w:val="20"/>
                <w:szCs w:val="20"/>
                <w:lang w:eastAsia="tr-TR"/>
                <w14:ligatures w14:val="none"/>
              </w:rPr>
            </w:pPr>
            <w:r w:rsidRPr="00A42B72">
              <w:rPr>
                <w:rFonts w:ascii="Arial" w:eastAsia="Times New Roman" w:hAnsi="Arial" w:cs="Arial"/>
                <w:color w:val="333333"/>
                <w:kern w:val="0"/>
                <w:sz w:val="20"/>
                <w:szCs w:val="20"/>
                <w:lang w:eastAsia="tr-TR"/>
                <w14:ligatures w14:val="none"/>
              </w:rPr>
              <w:t xml:space="preserve">Kanunun 35. maddesinde bahsi geçen yönetmelikte esasa müteallik, birinci ve ikinci derecede olarak gösterilmiş bulunan vasıf ve şartlara riayet etmemek </w:t>
            </w:r>
          </w:p>
        </w:tc>
        <w:tc>
          <w:tcPr>
            <w:tcW w:w="2440" w:type="dxa"/>
            <w:shd w:val="clear" w:color="000000" w:fill="FFFFFF"/>
            <w:vAlign w:val="center"/>
            <w:hideMark/>
          </w:tcPr>
          <w:p w14:paraId="3564143B" w14:textId="77777777" w:rsidR="00A42B72" w:rsidRPr="00A42B72" w:rsidRDefault="00A42B72" w:rsidP="00A42B72">
            <w:pPr>
              <w:spacing w:after="0" w:line="240" w:lineRule="auto"/>
              <w:jc w:val="center"/>
              <w:rPr>
                <w:rFonts w:ascii="Arial" w:eastAsia="Times New Roman" w:hAnsi="Arial" w:cs="Arial"/>
                <w:color w:val="333333"/>
                <w:kern w:val="0"/>
                <w:sz w:val="20"/>
                <w:szCs w:val="20"/>
                <w:lang w:eastAsia="tr-TR"/>
                <w14:ligatures w14:val="none"/>
              </w:rPr>
            </w:pPr>
            <w:r w:rsidRPr="00A42B72">
              <w:rPr>
                <w:rFonts w:ascii="Arial" w:eastAsia="Times New Roman" w:hAnsi="Arial" w:cs="Arial"/>
                <w:color w:val="333333"/>
                <w:kern w:val="0"/>
                <w:sz w:val="20"/>
                <w:szCs w:val="20"/>
                <w:lang w:eastAsia="tr-TR"/>
                <w14:ligatures w14:val="none"/>
              </w:rPr>
              <w:t xml:space="preserve">1. Derece: 30.138                               </w:t>
            </w:r>
            <w:r w:rsidRPr="00A42B72">
              <w:rPr>
                <w:rFonts w:ascii="Arial" w:eastAsia="Times New Roman" w:hAnsi="Arial" w:cs="Arial"/>
                <w:color w:val="333333"/>
                <w:kern w:val="0"/>
                <w:sz w:val="20"/>
                <w:szCs w:val="20"/>
                <w:lang w:eastAsia="tr-TR"/>
                <w14:ligatures w14:val="none"/>
              </w:rPr>
              <w:br/>
              <w:t>2. Derece: 15.029</w:t>
            </w:r>
          </w:p>
        </w:tc>
      </w:tr>
      <w:tr w:rsidR="00A42B72" w:rsidRPr="00A42B72" w14:paraId="430F4965" w14:textId="77777777" w:rsidTr="00A42B72">
        <w:trPr>
          <w:trHeight w:val="112"/>
          <w:jc w:val="center"/>
        </w:trPr>
        <w:tc>
          <w:tcPr>
            <w:tcW w:w="7880" w:type="dxa"/>
            <w:shd w:val="clear" w:color="auto" w:fill="FFFFFF" w:themeFill="background1"/>
            <w:vAlign w:val="center"/>
            <w:hideMark/>
          </w:tcPr>
          <w:p w14:paraId="63E4181E" w14:textId="34814926" w:rsidR="00A42B72" w:rsidRPr="00A42B72" w:rsidRDefault="00A42B72" w:rsidP="00A42B72">
            <w:pPr>
              <w:spacing w:after="0" w:line="240" w:lineRule="auto"/>
              <w:jc w:val="both"/>
              <w:rPr>
                <w:rFonts w:ascii="Arial" w:eastAsia="Times New Roman" w:hAnsi="Arial" w:cs="Arial"/>
                <w:color w:val="333333"/>
                <w:kern w:val="0"/>
                <w:sz w:val="20"/>
                <w:szCs w:val="20"/>
                <w:lang w:eastAsia="tr-TR"/>
                <w14:ligatures w14:val="none"/>
              </w:rPr>
            </w:pPr>
            <w:r w:rsidRPr="00A42B72">
              <w:rPr>
                <w:rFonts w:ascii="Arial" w:eastAsia="Times New Roman" w:hAnsi="Arial" w:cs="Arial"/>
                <w:color w:val="333333"/>
                <w:kern w:val="0"/>
                <w:sz w:val="20"/>
                <w:szCs w:val="20"/>
                <w:lang w:eastAsia="tr-TR"/>
                <w14:ligatures w14:val="none"/>
              </w:rPr>
              <w:t>Gemi adamı ücretlerinden 38. maddede gösterilen esaslar dışında para cezası uygulamak, 39. maddede sözü edilen zarar karşılığı kesintileri anılan madde hükümlerine uymadan yapmak, gemi adamına yıllık ücretli izin vermemek, hafta tatili izni uygulamamak, hafta tatili ücretini ödememek, genel tatil ücretini ödememek</w:t>
            </w:r>
          </w:p>
        </w:tc>
        <w:tc>
          <w:tcPr>
            <w:tcW w:w="2440" w:type="dxa"/>
            <w:shd w:val="clear" w:color="auto" w:fill="FFFFFF" w:themeFill="background1"/>
            <w:vAlign w:val="center"/>
            <w:hideMark/>
          </w:tcPr>
          <w:p w14:paraId="407E299D" w14:textId="77777777" w:rsidR="00A42B72" w:rsidRPr="00A42B72" w:rsidRDefault="00A42B72" w:rsidP="00A42B72">
            <w:pPr>
              <w:spacing w:after="0" w:line="240" w:lineRule="auto"/>
              <w:jc w:val="center"/>
              <w:rPr>
                <w:rFonts w:ascii="Arial" w:eastAsia="Times New Roman" w:hAnsi="Arial" w:cs="Arial"/>
                <w:color w:val="333333"/>
                <w:kern w:val="0"/>
                <w:sz w:val="20"/>
                <w:szCs w:val="20"/>
                <w:lang w:eastAsia="tr-TR"/>
                <w14:ligatures w14:val="none"/>
              </w:rPr>
            </w:pPr>
            <w:r w:rsidRPr="00A42B72">
              <w:rPr>
                <w:rFonts w:ascii="Arial" w:eastAsia="Times New Roman" w:hAnsi="Arial" w:cs="Arial"/>
                <w:color w:val="333333"/>
                <w:kern w:val="0"/>
                <w:sz w:val="20"/>
                <w:szCs w:val="20"/>
                <w:lang w:eastAsia="tr-TR"/>
                <w14:ligatures w14:val="none"/>
              </w:rPr>
              <w:t>15.029</w:t>
            </w:r>
          </w:p>
        </w:tc>
      </w:tr>
      <w:tr w:rsidR="00A42B72" w:rsidRPr="00A42B72" w14:paraId="48514F0A" w14:textId="77777777" w:rsidTr="00A42B72">
        <w:trPr>
          <w:trHeight w:val="1560"/>
          <w:jc w:val="center"/>
        </w:trPr>
        <w:tc>
          <w:tcPr>
            <w:tcW w:w="10320" w:type="dxa"/>
            <w:gridSpan w:val="2"/>
            <w:shd w:val="clear" w:color="auto" w:fill="FFFFFF" w:themeFill="background1"/>
            <w:vAlign w:val="center"/>
          </w:tcPr>
          <w:p w14:paraId="508CE59B" w14:textId="5CDB2BD7" w:rsidR="00A42B72" w:rsidRPr="00A42B72" w:rsidRDefault="00A42B72" w:rsidP="00A42B72">
            <w:pPr>
              <w:jc w:val="both"/>
              <w:rPr>
                <w:rFonts w:ascii="Arial" w:eastAsia="Times New Roman" w:hAnsi="Arial" w:cs="Arial"/>
                <w:color w:val="333333"/>
                <w:kern w:val="0"/>
                <w:sz w:val="20"/>
                <w:szCs w:val="20"/>
                <w:lang w:eastAsia="tr-TR"/>
                <w14:ligatures w14:val="none"/>
              </w:rPr>
            </w:pPr>
            <w:r w:rsidRPr="00A42B72">
              <w:rPr>
                <w:rFonts w:ascii="Arial" w:hAnsi="Arial" w:cs="Arial"/>
                <w:b/>
                <w:bCs/>
                <w:sz w:val="20"/>
                <w:szCs w:val="20"/>
              </w:rPr>
              <w:t>NOT:</w:t>
            </w:r>
            <w:r w:rsidRPr="00A42B72">
              <w:rPr>
                <w:rFonts w:ascii="Arial" w:hAnsi="Arial" w:cs="Arial"/>
                <w:sz w:val="20"/>
                <w:szCs w:val="20"/>
              </w:rPr>
              <w:t xml:space="preserve"> 51. maddenin birinci fıkradaki fiiller yurtdışında işlendiği takdirde verilecek cezalar 2 kat olarak uygulanır. 20.madde hükümlerine aykırı harekette bulunarak kıdem tazminatının öngörülen esaslar dışında veya saptanan miktar veya tavan aşılarak ödenmesi için emir veya talimat veren veya bu yolda hareket eden özel veya kamu kurumu veya kuruluşlarının yönetim kurulu üyeleri, genel müdür, müessese müdürü, muhasebe müdürü gibi yetkili sorumluları hakkında, fiil daha ağır cezayı gerektiren bir suç teşkil etmediği takdirde 6 aydan 2 seneye kadar hapis ve adlî para cezasına hükmolunur. Kanuna aykırı olarak fazla ödenen miktarın da ayrıca Hazine lehine re’ sen tahsiline karar verilir.</w:t>
            </w:r>
          </w:p>
        </w:tc>
      </w:tr>
    </w:tbl>
    <w:p w14:paraId="23AE0E69" w14:textId="77777777" w:rsidR="00794BCC" w:rsidRPr="00A42B72" w:rsidRDefault="00794BCC" w:rsidP="00794BCC">
      <w:pPr>
        <w:jc w:val="both"/>
        <w:rPr>
          <w:rFonts w:ascii="Arial" w:hAnsi="Arial" w:cs="Arial"/>
          <w:sz w:val="20"/>
          <w:szCs w:val="20"/>
        </w:rPr>
      </w:pPr>
    </w:p>
    <w:p w14:paraId="72AF0D8B" w14:textId="77777777" w:rsidR="00794BCC" w:rsidRPr="00A42B72" w:rsidRDefault="00794BCC">
      <w:pPr>
        <w:jc w:val="both"/>
        <w:rPr>
          <w:rFonts w:ascii="Arial" w:hAnsi="Arial" w:cs="Arial"/>
          <w:sz w:val="20"/>
          <w:szCs w:val="20"/>
        </w:rPr>
      </w:pPr>
    </w:p>
    <w:sectPr w:rsidR="00794BCC" w:rsidRPr="00A42B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E12"/>
    <w:rsid w:val="00276E12"/>
    <w:rsid w:val="004A65C3"/>
    <w:rsid w:val="00794BCC"/>
    <w:rsid w:val="007A375F"/>
    <w:rsid w:val="008A1385"/>
    <w:rsid w:val="009C364D"/>
    <w:rsid w:val="00A42B72"/>
    <w:rsid w:val="00DC45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66DFB"/>
  <w15:chartTrackingRefBased/>
  <w15:docId w15:val="{7642EA78-EE9D-4280-A093-1B1FEA36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76E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76E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76E12"/>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76E12"/>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76E12"/>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76E1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76E1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76E1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76E1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76E12"/>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276E12"/>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276E12"/>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276E12"/>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276E12"/>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276E1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76E1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76E1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76E12"/>
    <w:rPr>
      <w:rFonts w:eastAsiaTheme="majorEastAsia" w:cstheme="majorBidi"/>
      <w:color w:val="272727" w:themeColor="text1" w:themeTint="D8"/>
    </w:rPr>
  </w:style>
  <w:style w:type="paragraph" w:styleId="KonuBal">
    <w:name w:val="Title"/>
    <w:basedOn w:val="Normal"/>
    <w:next w:val="Normal"/>
    <w:link w:val="KonuBalChar"/>
    <w:uiPriority w:val="10"/>
    <w:qFormat/>
    <w:rsid w:val="00276E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76E1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76E1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76E1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76E1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76E12"/>
    <w:rPr>
      <w:i/>
      <w:iCs/>
      <w:color w:val="404040" w:themeColor="text1" w:themeTint="BF"/>
    </w:rPr>
  </w:style>
  <w:style w:type="paragraph" w:styleId="ListeParagraf">
    <w:name w:val="List Paragraph"/>
    <w:basedOn w:val="Normal"/>
    <w:uiPriority w:val="34"/>
    <w:qFormat/>
    <w:rsid w:val="00276E12"/>
    <w:pPr>
      <w:ind w:left="720"/>
      <w:contextualSpacing/>
    </w:pPr>
  </w:style>
  <w:style w:type="character" w:styleId="GlVurgulama">
    <w:name w:val="Intense Emphasis"/>
    <w:basedOn w:val="VarsaylanParagrafYazTipi"/>
    <w:uiPriority w:val="21"/>
    <w:qFormat/>
    <w:rsid w:val="00276E12"/>
    <w:rPr>
      <w:i/>
      <w:iCs/>
      <w:color w:val="0F4761" w:themeColor="accent1" w:themeShade="BF"/>
    </w:rPr>
  </w:style>
  <w:style w:type="paragraph" w:styleId="GlAlnt">
    <w:name w:val="Intense Quote"/>
    <w:basedOn w:val="Normal"/>
    <w:next w:val="Normal"/>
    <w:link w:val="GlAlntChar"/>
    <w:uiPriority w:val="30"/>
    <w:qFormat/>
    <w:rsid w:val="00276E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76E12"/>
    <w:rPr>
      <w:i/>
      <w:iCs/>
      <w:color w:val="0F4761" w:themeColor="accent1" w:themeShade="BF"/>
    </w:rPr>
  </w:style>
  <w:style w:type="character" w:styleId="GlBavuru">
    <w:name w:val="Intense Reference"/>
    <w:basedOn w:val="VarsaylanParagrafYazTipi"/>
    <w:uiPriority w:val="32"/>
    <w:qFormat/>
    <w:rsid w:val="00276E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69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315</Words>
  <Characters>1798</Characters>
  <Application>Microsoft Office Word</Application>
  <DocSecurity>0</DocSecurity>
  <Lines>14</Lines>
  <Paragraphs>4</Paragraphs>
  <ScaleCrop>false</ScaleCrop>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SALİHA BETÜL ÇOLAK</dc:creator>
  <cp:keywords/>
  <dc:description/>
  <cp:lastModifiedBy>SALİHA BETÜL ÇOLAK</cp:lastModifiedBy>
  <cp:revision>6</cp:revision>
  <dcterms:created xsi:type="dcterms:W3CDTF">2026-01-06T05:36:00Z</dcterms:created>
  <dcterms:modified xsi:type="dcterms:W3CDTF">2026-01-07T19:46:00Z</dcterms:modified>
</cp:coreProperties>
</file>