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416" w:rsidRPr="000C4573" w:rsidRDefault="000C50F8" w:rsidP="000C50F8">
      <w:pPr>
        <w:spacing w:after="0" w:line="240" w:lineRule="auto"/>
        <w:jc w:val="center"/>
        <w:rPr>
          <w:b/>
          <w:color w:val="FF0000"/>
          <w:sz w:val="19"/>
          <w:szCs w:val="19"/>
        </w:rPr>
      </w:pPr>
      <w:r w:rsidRPr="000C4573">
        <w:rPr>
          <w:b/>
          <w:color w:val="FF0000"/>
          <w:sz w:val="19"/>
          <w:szCs w:val="19"/>
        </w:rPr>
        <w:t xml:space="preserve">TBMM Genel Kurulunda, en düşük emekli aylığının artırılmasına yönelik düzenlemeyi de içeren Bazı Kanun ve Kanun Hükmünde Kararnamelerde Değişiklik Yapılmasına Dair Kanun Teklifi kabul edilerek 24 Temmuz 2026 itibariyle </w:t>
      </w:r>
      <w:r w:rsidR="00985E9D">
        <w:rPr>
          <w:b/>
          <w:color w:val="FF0000"/>
          <w:sz w:val="19"/>
          <w:szCs w:val="19"/>
        </w:rPr>
        <w:t xml:space="preserve">7590 sayılı numara ile </w:t>
      </w:r>
      <w:r w:rsidRPr="000C4573">
        <w:rPr>
          <w:b/>
          <w:color w:val="FF0000"/>
          <w:sz w:val="19"/>
          <w:szCs w:val="19"/>
        </w:rPr>
        <w:t xml:space="preserve">yasalaştı. </w:t>
      </w:r>
      <w:r w:rsidR="00985E9D">
        <w:rPr>
          <w:b/>
          <w:color w:val="FF0000"/>
          <w:sz w:val="19"/>
          <w:szCs w:val="19"/>
        </w:rPr>
        <w:t xml:space="preserve">27.07.2026 tarihinde Cumhurbaşkanlığı’na gönderilmiş olup, </w:t>
      </w:r>
      <w:r w:rsidRPr="000C4573">
        <w:rPr>
          <w:b/>
          <w:color w:val="FF0000"/>
          <w:sz w:val="19"/>
          <w:szCs w:val="19"/>
        </w:rPr>
        <w:t>Resmi Gazete’ de yayımını müteakiben yürürlüğe girmiş olacaktır:</w:t>
      </w:r>
    </w:p>
    <w:p w:rsidR="000C50F8" w:rsidRPr="000C4573" w:rsidRDefault="000C50F8" w:rsidP="000C50F8">
      <w:pPr>
        <w:spacing w:after="0" w:line="240" w:lineRule="auto"/>
        <w:rPr>
          <w:b/>
          <w:sz w:val="19"/>
          <w:szCs w:val="19"/>
        </w:rPr>
      </w:pPr>
    </w:p>
    <w:p w:rsidR="000C50F8" w:rsidRPr="000C4573" w:rsidRDefault="000C4573" w:rsidP="000C50F8">
      <w:pPr>
        <w:spacing w:after="0" w:line="240" w:lineRule="auto"/>
        <w:jc w:val="both"/>
        <w:rPr>
          <w:sz w:val="19"/>
          <w:szCs w:val="19"/>
        </w:rPr>
      </w:pPr>
      <w:r w:rsidRPr="000C4573">
        <w:rPr>
          <w:b/>
          <w:sz w:val="19"/>
          <w:szCs w:val="19"/>
          <w:highlight w:val="cyan"/>
        </w:rPr>
        <w:t>1</w:t>
      </w:r>
      <w:r w:rsidR="000C50F8" w:rsidRPr="000C4573">
        <w:rPr>
          <w:b/>
          <w:sz w:val="19"/>
          <w:szCs w:val="19"/>
          <w:highlight w:val="cyan"/>
        </w:rPr>
        <w:t>-</w:t>
      </w:r>
      <w:r w:rsidR="000C50F8" w:rsidRPr="000C4573">
        <w:rPr>
          <w:sz w:val="19"/>
          <w:szCs w:val="19"/>
        </w:rPr>
        <w:t xml:space="preserve"> İşsizlik Sigortası Kanunu'nda yapılan değişikliğe göre, Sanayi ve Teknoloji Bakanlığı ile ilgili ve bağlı kuruluşlarınca, imalat sektöründe 2025, 2026 ve 2027 yılında istihdamın korunması amacıyla teşvik ve destek programlarının uygulanması sürdürülecek.</w:t>
      </w:r>
    </w:p>
    <w:p w:rsidR="000C50F8" w:rsidRPr="000C4573" w:rsidRDefault="000C50F8" w:rsidP="000C50F8">
      <w:pPr>
        <w:spacing w:after="0" w:line="240" w:lineRule="auto"/>
        <w:jc w:val="both"/>
        <w:rPr>
          <w:sz w:val="19"/>
          <w:szCs w:val="19"/>
        </w:rPr>
      </w:pPr>
    </w:p>
    <w:p w:rsidR="000C50F8" w:rsidRPr="000C4573" w:rsidRDefault="000C4573" w:rsidP="000C50F8">
      <w:pPr>
        <w:spacing w:after="0" w:line="240" w:lineRule="auto"/>
        <w:jc w:val="both"/>
        <w:rPr>
          <w:sz w:val="19"/>
          <w:szCs w:val="19"/>
        </w:rPr>
      </w:pPr>
      <w:r w:rsidRPr="000C4573">
        <w:rPr>
          <w:b/>
          <w:sz w:val="19"/>
          <w:szCs w:val="19"/>
          <w:highlight w:val="cyan"/>
        </w:rPr>
        <w:t>2</w:t>
      </w:r>
      <w:r w:rsidR="000C50F8" w:rsidRPr="000C4573">
        <w:rPr>
          <w:b/>
          <w:sz w:val="19"/>
          <w:szCs w:val="19"/>
          <w:highlight w:val="cyan"/>
        </w:rPr>
        <w:t>-</w:t>
      </w:r>
      <w:r w:rsidR="000C50F8" w:rsidRPr="000C4573">
        <w:rPr>
          <w:sz w:val="19"/>
          <w:szCs w:val="19"/>
        </w:rPr>
        <w:t xml:space="preserve"> İstihdamı koruma odaklı politikalar doğrultusunda uygulanan destek programlarının kaynağının İşsizlik Sigortası Fonu'ndan karşılanmasına ilişkin süre 31 Aralık 2026'dan 31 Aralık 2028'e uzatılacak.</w:t>
      </w:r>
    </w:p>
    <w:p w:rsidR="000C50F8" w:rsidRPr="000C4573" w:rsidRDefault="000C50F8" w:rsidP="000C50F8">
      <w:pPr>
        <w:spacing w:after="0" w:line="240" w:lineRule="auto"/>
        <w:jc w:val="both"/>
        <w:rPr>
          <w:sz w:val="19"/>
          <w:szCs w:val="19"/>
        </w:rPr>
      </w:pPr>
    </w:p>
    <w:p w:rsidR="000C50F8" w:rsidRPr="000C4573" w:rsidRDefault="000C4573" w:rsidP="000C50F8">
      <w:pPr>
        <w:spacing w:after="0" w:line="240" w:lineRule="auto"/>
        <w:jc w:val="both"/>
        <w:rPr>
          <w:sz w:val="19"/>
          <w:szCs w:val="19"/>
        </w:rPr>
      </w:pPr>
      <w:r w:rsidRPr="000C4573">
        <w:rPr>
          <w:b/>
          <w:sz w:val="19"/>
          <w:szCs w:val="19"/>
          <w:highlight w:val="cyan"/>
        </w:rPr>
        <w:t>3</w:t>
      </w:r>
      <w:r w:rsidR="000C50F8" w:rsidRPr="000C4573">
        <w:rPr>
          <w:b/>
          <w:sz w:val="19"/>
          <w:szCs w:val="19"/>
          <w:highlight w:val="cyan"/>
        </w:rPr>
        <w:t>-</w:t>
      </w:r>
      <w:r w:rsidR="000C50F8" w:rsidRPr="000C4573">
        <w:rPr>
          <w:sz w:val="19"/>
          <w:szCs w:val="19"/>
        </w:rPr>
        <w:t xml:space="preserve"> </w:t>
      </w:r>
      <w:r w:rsidR="000C50F8" w:rsidRPr="000C4573">
        <w:rPr>
          <w:b/>
          <w:sz w:val="19"/>
          <w:szCs w:val="19"/>
        </w:rPr>
        <w:t xml:space="preserve"> </w:t>
      </w:r>
      <w:r w:rsidR="007959B0" w:rsidRPr="000C4573">
        <w:rPr>
          <w:b/>
          <w:sz w:val="19"/>
          <w:szCs w:val="19"/>
          <w:highlight w:val="yellow"/>
        </w:rPr>
        <w:t>(YÜRÜRLÜK: 2026/MAYIS)</w:t>
      </w:r>
      <w:r w:rsidR="007959B0" w:rsidRPr="000C4573">
        <w:rPr>
          <w:b/>
          <w:sz w:val="19"/>
          <w:szCs w:val="19"/>
        </w:rPr>
        <w:t xml:space="preserve"> </w:t>
      </w:r>
      <w:r w:rsidR="000C50F8" w:rsidRPr="000C4573">
        <w:rPr>
          <w:sz w:val="19"/>
          <w:szCs w:val="19"/>
        </w:rPr>
        <w:t>Turizmi Teşvik Kanunu kapsamında Kültür ve Turizm Bakanlığı turizm işletmesi belgesine sahip özel sektöre ait konaklama tesisi iş yerlerinde, bu yılın mayıs ila aralık aylarına/dönemlerine ilişkin olmak üzere, tesisin faaliyette bulunduğu aylar/dönemler ile sınırlı olarak, ilgili ayda/dönemde verilen muhtasar ve prim hizmet beyannamesiyle Sosyal Sigortalar ve Genel Sağlık Sigortası Kanunu'nun ilgili hükmü kapsamında uzun vadeli sigorta kollarına tabi olarak bildirilen sigortalıların prim ödeme gün sayısının 116,67 TL ile çarpımı sonucu bulunacak tutar, bu iş yerlerinin Sosyal Güvenlik Kurumuna ödeyecekleri sigorta primlerinden mahsup edilmek suretiyle İşsizlik Sigortası Fonu'ndan karşılanacak. İş yeri ile ilgili muhtasar ve prim hizmet beyannamelerinin yasal süresi içerisinde verilmemesi, primlerin yasal süresinde ödenmemesi ve SGK'ye prim, idari para cezası ve bunlara ilişkin gecikme cezası ve gecikme zammı borcu bulunması durumlarında bu hükümde belirtilen destekten yararlanılamayacak. Ancak SGK'ye olan prim, idari para cezası ve bunlara ilişkin gecikme cezası ve gecikme zammı borçlarını Amme Alacaklarının Tahsil Usulü Hakkında Kanun'un ilgili hükmüne göre tecil ettiren ve taksitlendiren veya ilgili diğer kanunlar uyarınca yapılandıran işverenler bu taksitlendirme veya yapılandırma devam ettiği sürece bu mevcut bir işletmenin kapatılarak değişik ad, unvan veya iş birimi altında açılması, yönetim ve kontrolü elinde</w:t>
      </w:r>
      <w:bookmarkStart w:id="0" w:name="_GoBack"/>
      <w:bookmarkEnd w:id="0"/>
      <w:r w:rsidR="000C50F8" w:rsidRPr="000C4573">
        <w:rPr>
          <w:sz w:val="19"/>
          <w:szCs w:val="19"/>
        </w:rPr>
        <w:t xml:space="preserve"> bulunduracak şekilde doğrudan veya dolaylı ortaklık ilişkisi bulunan şirketler arasında istihdamın kaydırılması, şahıs işletmelerinde işletme sahipliğinin değiştirilmesi veya bu madde kapsamında sağlanan destekten yararlanmak amacıyla muvazaalı işlem tesis edildiğinin anlaşılması halinde, Fon'dan karşılanan tutar, Sosyal Sigortalar ve Genel Sağlık Sigortası Kanunu uyarınca gecikme cezası ve gecikme zammı ile birlikte işverenden tahsil edilecek. Bu yılın mayıs ila aralık ayları/dönemleri için mahkeme kararıyla veya denetim ve kontrolle görevli memurlarca yapılan soruşturma ve incelemelerde, çalıştırdığı kişileri sigortalı olarak bildirmediği veya bildirilen sigortalıyı fiilen çalıştırmadığı tespit edilen işyerleri ile sigortalıların prime esas kazançlarını SGK'ye bildirmediği veya eksik bildirdiği tespit edilen iş yerlerinden Fon'dan karşılanan tutar, gecikme cezası ve gecikme zammıyla birlikte geri alınacak ve bu işyerleri hakkında bu düzenleme hükümleri uygulanmayacak. Ancak, ilgili ayda 2026 yılı Mayıs ila Aralık aylarına/dönemlerine ait aylık brüt asgari ücretin 10'da birini geçmeyecek tutarda eksik prime esas kazanç bildirimi yapıldığının tespiti durumunda SGK tarafından yapılacak ihtar üzerine 15 günlük süre içinde söz konusu eksikliği gideren iş yerleri hakkında bu düzenleme hükümleri uygulanmaya devam edecek. Bu düzenleme hükümleri, sosyal güvenlik destek primine tabi çalışanlar, yabancı uyruklu sigortalılar ve yurt dışında çalışan sigortalılar hakkında uygulanmayacak. Bu kapsamdaki destekten yararlanan iş yerlerinin aynı ayda/dönemde diğer sigorta primi teşvik, destek ve indirimlerinden yararlanması halinde, bu hüküm uyarınca sağlanacak destek tutarı, bu teşvik, destek ve indirimler uygulandıktan sonra destekten yararlanılan aya/döneme ait SGK'ye ödenmesi gereken sigorta primi tutarını aşamayacak. Fon'dan bu kapsamda karşılanan tutarlar, gelir ve kurumlar vergisi uygulamalarında gelir, gider veya maliyet unsuru olarak dikkate alınmayacak. Bu hükmün uygulanmasına ilişkin usul ve esaslar Kültür ve Turizm Bakanlığının görüşü alınarak Çalışma ve Sosyal Güvenlik Bakanlığınca belirlenecek.</w:t>
      </w:r>
    </w:p>
    <w:p w:rsidR="000C50F8" w:rsidRPr="000C4573" w:rsidRDefault="000C50F8" w:rsidP="000C50F8">
      <w:pPr>
        <w:spacing w:after="0" w:line="240" w:lineRule="auto"/>
        <w:jc w:val="both"/>
        <w:rPr>
          <w:sz w:val="19"/>
          <w:szCs w:val="19"/>
        </w:rPr>
      </w:pPr>
    </w:p>
    <w:p w:rsidR="000C50F8" w:rsidRPr="000C4573" w:rsidRDefault="000C4573" w:rsidP="000C50F8">
      <w:pPr>
        <w:spacing w:after="0" w:line="240" w:lineRule="auto"/>
        <w:jc w:val="both"/>
        <w:rPr>
          <w:sz w:val="19"/>
          <w:szCs w:val="19"/>
        </w:rPr>
      </w:pPr>
      <w:r w:rsidRPr="000C4573">
        <w:rPr>
          <w:b/>
          <w:sz w:val="19"/>
          <w:szCs w:val="19"/>
          <w:highlight w:val="cyan"/>
        </w:rPr>
        <w:t>4</w:t>
      </w:r>
      <w:r w:rsidR="000C50F8" w:rsidRPr="000C4573">
        <w:rPr>
          <w:b/>
          <w:sz w:val="19"/>
          <w:szCs w:val="19"/>
          <w:highlight w:val="cyan"/>
        </w:rPr>
        <w:t>-</w:t>
      </w:r>
      <w:r w:rsidR="000C50F8" w:rsidRPr="000C4573">
        <w:rPr>
          <w:sz w:val="19"/>
          <w:szCs w:val="19"/>
        </w:rPr>
        <w:t xml:space="preserve"> </w:t>
      </w:r>
      <w:r w:rsidR="007959B0" w:rsidRPr="000C4573">
        <w:rPr>
          <w:b/>
          <w:sz w:val="19"/>
          <w:szCs w:val="19"/>
          <w:highlight w:val="yellow"/>
        </w:rPr>
        <w:t>(YÜRÜRLÜK 01.08.2026)</w:t>
      </w:r>
      <w:r w:rsidR="007959B0" w:rsidRPr="000C4573">
        <w:rPr>
          <w:b/>
          <w:sz w:val="19"/>
          <w:szCs w:val="19"/>
        </w:rPr>
        <w:t xml:space="preserve"> </w:t>
      </w:r>
      <w:r w:rsidR="000C50F8" w:rsidRPr="000C4573">
        <w:rPr>
          <w:sz w:val="19"/>
          <w:szCs w:val="19"/>
        </w:rPr>
        <w:t>Sosyal Sigortalar ve Genel Sağlık Sigortası Kanunu'ndaki "Prim oranları ve Devlet katkısı" hükmünün başlığı "Prim oranları" şeklinde değiştiriliyor. Aynı mahiyetteki bütçeden yapılan ödeme unsurları teke indirilerek sadeleştiriliyor, böylelikle bütçe kalemlerinin izlenebilirliği ve değerlendirme süreçlerinin etkinliğinin artırılması amaçlanıyor. Ayrıca</w:t>
      </w:r>
      <w:r w:rsidR="000C50F8" w:rsidRPr="000C4573">
        <w:rPr>
          <w:i/>
          <w:sz w:val="19"/>
          <w:szCs w:val="19"/>
        </w:rPr>
        <w:t>, “Devlet, Kurumun ay itibarıyla tahsil ettiği malullük, yaşlılık ve ölüm sigortaları ile genel sağlık sigortası priminin dörtte biri oranında Kuruma katkı yapar. Devlet katkısı olarak hesaplanacak tutar talep edilen tarihi takip eden 15 gün içinde Hazinece Kuruma ödenir.”</w:t>
      </w:r>
      <w:r w:rsidR="000C50F8" w:rsidRPr="000C4573">
        <w:rPr>
          <w:sz w:val="19"/>
          <w:szCs w:val="19"/>
        </w:rPr>
        <w:t xml:space="preserve"> düzenlemesi kaldırılacak.</w:t>
      </w:r>
    </w:p>
    <w:p w:rsidR="000C50F8" w:rsidRPr="000C4573" w:rsidRDefault="000C50F8" w:rsidP="000C50F8">
      <w:pPr>
        <w:spacing w:after="0" w:line="240" w:lineRule="auto"/>
        <w:jc w:val="both"/>
        <w:rPr>
          <w:sz w:val="19"/>
          <w:szCs w:val="19"/>
        </w:rPr>
      </w:pPr>
    </w:p>
    <w:p w:rsidR="000C50F8" w:rsidRPr="000C4573" w:rsidRDefault="000C4573" w:rsidP="000C50F8">
      <w:pPr>
        <w:spacing w:after="0" w:line="240" w:lineRule="auto"/>
        <w:jc w:val="both"/>
        <w:rPr>
          <w:sz w:val="19"/>
          <w:szCs w:val="19"/>
        </w:rPr>
      </w:pPr>
      <w:r w:rsidRPr="000C4573">
        <w:rPr>
          <w:b/>
          <w:sz w:val="19"/>
          <w:szCs w:val="19"/>
          <w:highlight w:val="cyan"/>
        </w:rPr>
        <w:t>5</w:t>
      </w:r>
      <w:r w:rsidR="000C50F8" w:rsidRPr="000C4573">
        <w:rPr>
          <w:b/>
          <w:sz w:val="19"/>
          <w:szCs w:val="19"/>
          <w:highlight w:val="cyan"/>
        </w:rPr>
        <w:t>-</w:t>
      </w:r>
      <w:r w:rsidR="000C50F8" w:rsidRPr="000C4573">
        <w:rPr>
          <w:sz w:val="19"/>
          <w:szCs w:val="19"/>
        </w:rPr>
        <w:t xml:space="preserve"> En düşük emekli aylığı temmuz ödeme döneminden itibaren 23 bin 552 liraya yükseltilecek. Kanun'da yapılan düzenlemeye göre, yaşlılık, malullük ve ölüm aylığı ödenenlere ve hak sahiplerine dosya bazında 20 bin lira olarak öngörülen aylık asgari ödeme tutarı, 2026 Temmuz ayı ödeme döneminden itibaren yılın ilk 6 aylık dönemi için Türkiye İstatistik Kurumu tarafından açıklanan enflasyon oranı kadar artırılarak 23 bin 552 liraya çıkarılacak. Bu hüküm, 2026 Temmuz ayı ödeme döneminden itibaren uygulanmak üzere yayımı tarihinde yürürlüğe girecek.</w:t>
      </w:r>
    </w:p>
    <w:p w:rsidR="000C50F8" w:rsidRPr="000C4573" w:rsidRDefault="000C50F8" w:rsidP="000C50F8">
      <w:pPr>
        <w:spacing w:after="0" w:line="240" w:lineRule="auto"/>
        <w:jc w:val="both"/>
        <w:rPr>
          <w:sz w:val="19"/>
          <w:szCs w:val="19"/>
        </w:rPr>
      </w:pPr>
    </w:p>
    <w:sectPr w:rsidR="000C50F8" w:rsidRPr="000C457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691" w:rsidRDefault="00501691" w:rsidP="002F5AC3">
      <w:pPr>
        <w:spacing w:after="0" w:line="240" w:lineRule="auto"/>
      </w:pPr>
      <w:r>
        <w:separator/>
      </w:r>
    </w:p>
  </w:endnote>
  <w:endnote w:type="continuationSeparator" w:id="0">
    <w:p w:rsidR="00501691" w:rsidRDefault="00501691" w:rsidP="002F5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E9D" w:rsidRDefault="00985E9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180961"/>
      <w:docPartObj>
        <w:docPartGallery w:val="Page Numbers (Bottom of Page)"/>
        <w:docPartUnique/>
      </w:docPartObj>
    </w:sdtPr>
    <w:sdtEndPr>
      <w:rPr>
        <w:b/>
        <w:sz w:val="16"/>
        <w:szCs w:val="16"/>
      </w:rPr>
    </w:sdtEndPr>
    <w:sdtContent>
      <w:p w:rsidR="002F5AC3" w:rsidRPr="002F5AC3" w:rsidRDefault="00501691">
        <w:pPr>
          <w:pStyle w:val="AltBilgi"/>
          <w:jc w:val="center"/>
          <w:rPr>
            <w:b/>
            <w:sz w:val="16"/>
            <w:szCs w:val="16"/>
          </w:rPr>
        </w:pPr>
      </w:p>
    </w:sdtContent>
  </w:sdt>
  <w:p w:rsidR="002F5AC3" w:rsidRDefault="002F5AC3">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E9D" w:rsidRDefault="00985E9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691" w:rsidRDefault="00501691" w:rsidP="002F5AC3">
      <w:pPr>
        <w:spacing w:after="0" w:line="240" w:lineRule="auto"/>
      </w:pPr>
      <w:r>
        <w:separator/>
      </w:r>
    </w:p>
  </w:footnote>
  <w:footnote w:type="continuationSeparator" w:id="0">
    <w:p w:rsidR="00501691" w:rsidRDefault="00501691" w:rsidP="002F5A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E9D" w:rsidRDefault="00985E9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E9D" w:rsidRDefault="00985E9D">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E9D" w:rsidRDefault="00985E9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F1A"/>
    <w:rsid w:val="00035416"/>
    <w:rsid w:val="000519C8"/>
    <w:rsid w:val="000C4573"/>
    <w:rsid w:val="000C50F8"/>
    <w:rsid w:val="00142A32"/>
    <w:rsid w:val="001C4335"/>
    <w:rsid w:val="002F5AC3"/>
    <w:rsid w:val="0033077F"/>
    <w:rsid w:val="00501691"/>
    <w:rsid w:val="006A6B29"/>
    <w:rsid w:val="007959B0"/>
    <w:rsid w:val="00843580"/>
    <w:rsid w:val="00857C9D"/>
    <w:rsid w:val="00985E9D"/>
    <w:rsid w:val="009A1BFB"/>
    <w:rsid w:val="00C04F1A"/>
    <w:rsid w:val="00DE496F"/>
    <w:rsid w:val="00E741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4B2BCD-75ED-40E9-9408-F7FD34ED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C50F8"/>
    <w:pPr>
      <w:ind w:left="720"/>
      <w:contextualSpacing/>
    </w:pPr>
  </w:style>
  <w:style w:type="paragraph" w:styleId="stBilgi">
    <w:name w:val="header"/>
    <w:basedOn w:val="Normal"/>
    <w:link w:val="stBilgiChar"/>
    <w:uiPriority w:val="99"/>
    <w:unhideWhenUsed/>
    <w:rsid w:val="002F5AC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F5AC3"/>
  </w:style>
  <w:style w:type="paragraph" w:styleId="AltBilgi">
    <w:name w:val="footer"/>
    <w:basedOn w:val="Normal"/>
    <w:link w:val="AltBilgiChar"/>
    <w:uiPriority w:val="99"/>
    <w:unhideWhenUsed/>
    <w:rsid w:val="002F5AC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F5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845</Words>
  <Characters>4822</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MAHMUT</dc:creator>
  <cp:keywords/>
  <dc:description/>
  <cp:lastModifiedBy>MAHMUT</cp:lastModifiedBy>
  <cp:revision>8</cp:revision>
  <dcterms:created xsi:type="dcterms:W3CDTF">2026-07-27T20:45:00Z</dcterms:created>
  <dcterms:modified xsi:type="dcterms:W3CDTF">2026-07-27T20:51:00Z</dcterms:modified>
</cp:coreProperties>
</file>