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8EBB" w14:textId="4D081318" w:rsidR="001A30F3" w:rsidRPr="001A30F3" w:rsidRDefault="001A30F3" w:rsidP="001A30F3">
      <w:pPr>
        <w:spacing w:after="0" w:line="240" w:lineRule="auto"/>
        <w:jc w:val="center"/>
        <w:rPr>
          <w:b/>
          <w:bCs/>
          <w:sz w:val="23"/>
          <w:szCs w:val="23"/>
          <w:highlight w:val="yellow"/>
        </w:rPr>
      </w:pPr>
      <w:r w:rsidRPr="001A30F3">
        <w:rPr>
          <w:b/>
          <w:bCs/>
          <w:sz w:val="23"/>
          <w:szCs w:val="23"/>
          <w:highlight w:val="yellow"/>
        </w:rPr>
        <w:t>6 Mayıs 2026 CUMARTESİ</w:t>
      </w:r>
      <w:r w:rsidRPr="001A30F3">
        <w:rPr>
          <w:b/>
          <w:bCs/>
          <w:sz w:val="23"/>
          <w:szCs w:val="23"/>
          <w:highlight w:val="yellow"/>
        </w:rPr>
        <w:t xml:space="preserve"> </w:t>
      </w:r>
      <w:r w:rsidRPr="001A30F3">
        <w:rPr>
          <w:b/>
          <w:bCs/>
          <w:sz w:val="23"/>
          <w:szCs w:val="23"/>
          <w:highlight w:val="yellow"/>
        </w:rPr>
        <w:t>Resmî Gazete</w:t>
      </w:r>
      <w:r w:rsidRPr="001A30F3">
        <w:rPr>
          <w:b/>
          <w:bCs/>
          <w:sz w:val="23"/>
          <w:szCs w:val="23"/>
          <w:highlight w:val="yellow"/>
        </w:rPr>
        <w:t xml:space="preserve"> Sayı:</w:t>
      </w:r>
      <w:r w:rsidRPr="001A30F3">
        <w:rPr>
          <w:b/>
          <w:bCs/>
          <w:sz w:val="23"/>
          <w:szCs w:val="23"/>
          <w:highlight w:val="yellow"/>
        </w:rPr>
        <w:t xml:space="preserve"> 33255</w:t>
      </w:r>
    </w:p>
    <w:p w14:paraId="06486DE9" w14:textId="77777777" w:rsidR="001A30F3" w:rsidRPr="001A30F3" w:rsidRDefault="001A30F3" w:rsidP="001A30F3">
      <w:pPr>
        <w:spacing w:after="0" w:line="240" w:lineRule="auto"/>
        <w:jc w:val="center"/>
        <w:rPr>
          <w:b/>
          <w:bCs/>
          <w:sz w:val="23"/>
          <w:szCs w:val="23"/>
          <w:highlight w:val="yellow"/>
        </w:rPr>
      </w:pPr>
    </w:p>
    <w:p w14:paraId="09CC03BA" w14:textId="0BD53E77" w:rsidR="001A30F3" w:rsidRPr="001A30F3" w:rsidRDefault="001A30F3" w:rsidP="001A30F3">
      <w:pPr>
        <w:spacing w:after="0" w:line="240" w:lineRule="auto"/>
        <w:jc w:val="center"/>
        <w:rPr>
          <w:b/>
          <w:bCs/>
          <w:sz w:val="23"/>
          <w:szCs w:val="23"/>
        </w:rPr>
      </w:pPr>
      <w:r w:rsidRPr="001A30F3">
        <w:rPr>
          <w:b/>
          <w:bCs/>
          <w:sz w:val="23"/>
          <w:szCs w:val="23"/>
          <w:highlight w:val="yellow"/>
        </w:rPr>
        <w:t>Sosyal Güvenlik Kurumundan:</w:t>
      </w:r>
      <w:r w:rsidRPr="001A30F3">
        <w:rPr>
          <w:b/>
          <w:bCs/>
          <w:sz w:val="23"/>
          <w:szCs w:val="23"/>
          <w:highlight w:val="yellow"/>
        </w:rPr>
        <w:t xml:space="preserve"> </w:t>
      </w:r>
      <w:r w:rsidRPr="001A30F3">
        <w:rPr>
          <w:b/>
          <w:bCs/>
          <w:sz w:val="23"/>
          <w:szCs w:val="23"/>
          <w:highlight w:val="yellow"/>
        </w:rPr>
        <w:t>SOSYAL SİGORTA İŞLEMLERİ YÖNETMELİĞİNDE DEĞİŞİKLİK</w:t>
      </w:r>
      <w:r w:rsidRPr="001A30F3">
        <w:rPr>
          <w:b/>
          <w:bCs/>
          <w:sz w:val="23"/>
          <w:szCs w:val="23"/>
          <w:highlight w:val="yellow"/>
        </w:rPr>
        <w:t xml:space="preserve"> </w:t>
      </w:r>
      <w:r w:rsidRPr="001A30F3">
        <w:rPr>
          <w:b/>
          <w:bCs/>
          <w:sz w:val="23"/>
          <w:szCs w:val="23"/>
          <w:highlight w:val="yellow"/>
        </w:rPr>
        <w:t>YAPILMASINA DAİR YÖNETMELİK</w:t>
      </w:r>
    </w:p>
    <w:p w14:paraId="72B7A52C" w14:textId="77777777" w:rsidR="001A30F3" w:rsidRPr="001A30F3" w:rsidRDefault="001A30F3" w:rsidP="001A30F3">
      <w:pPr>
        <w:spacing w:after="0" w:line="240" w:lineRule="auto"/>
        <w:jc w:val="both"/>
        <w:rPr>
          <w:sz w:val="23"/>
          <w:szCs w:val="23"/>
        </w:rPr>
      </w:pPr>
    </w:p>
    <w:p w14:paraId="0A488871" w14:textId="77777777" w:rsidR="001A30F3" w:rsidRPr="001A30F3" w:rsidRDefault="001A30F3" w:rsidP="001A30F3">
      <w:pPr>
        <w:spacing w:after="0" w:line="240" w:lineRule="auto"/>
        <w:jc w:val="both"/>
        <w:rPr>
          <w:sz w:val="23"/>
          <w:szCs w:val="23"/>
        </w:rPr>
      </w:pPr>
      <w:r w:rsidRPr="001A30F3">
        <w:rPr>
          <w:b/>
          <w:bCs/>
          <w:sz w:val="23"/>
          <w:szCs w:val="23"/>
        </w:rPr>
        <w:t>MADDE 1-</w:t>
      </w:r>
      <w:r w:rsidRPr="001A30F3">
        <w:rPr>
          <w:sz w:val="23"/>
          <w:szCs w:val="23"/>
        </w:rPr>
        <w:t xml:space="preserve"> 12/5/2010 tarihli ve 27579 sayılı Resmî </w:t>
      </w:r>
      <w:proofErr w:type="spellStart"/>
      <w:r w:rsidRPr="001A30F3">
        <w:rPr>
          <w:sz w:val="23"/>
          <w:szCs w:val="23"/>
        </w:rPr>
        <w:t>Gazete’de</w:t>
      </w:r>
      <w:proofErr w:type="spellEnd"/>
      <w:r w:rsidRPr="001A30F3">
        <w:rPr>
          <w:sz w:val="23"/>
          <w:szCs w:val="23"/>
        </w:rPr>
        <w:t xml:space="preserve"> yayımlanan Sosyal Sigorta İşlemleri Yönetmeliğinin </w:t>
      </w:r>
      <w:proofErr w:type="gramStart"/>
      <w:r w:rsidRPr="001A30F3">
        <w:rPr>
          <w:sz w:val="23"/>
          <w:szCs w:val="23"/>
        </w:rPr>
        <w:t>4 üncü</w:t>
      </w:r>
      <w:proofErr w:type="gramEnd"/>
      <w:r w:rsidRPr="001A30F3">
        <w:rPr>
          <w:sz w:val="23"/>
          <w:szCs w:val="23"/>
        </w:rPr>
        <w:t xml:space="preserve"> maddesinin birinci fıkrasının (b) bendi aşağıdaki şekilde değiştirilmiştir.</w:t>
      </w:r>
    </w:p>
    <w:p w14:paraId="1BA7097B" w14:textId="77777777" w:rsidR="001A30F3" w:rsidRPr="001A30F3" w:rsidRDefault="001A30F3" w:rsidP="001A30F3">
      <w:pPr>
        <w:spacing w:after="0" w:line="240" w:lineRule="auto"/>
        <w:jc w:val="both"/>
        <w:rPr>
          <w:sz w:val="23"/>
          <w:szCs w:val="23"/>
        </w:rPr>
      </w:pPr>
    </w:p>
    <w:p w14:paraId="72237086" w14:textId="77777777" w:rsidR="001A30F3" w:rsidRPr="001A30F3" w:rsidRDefault="001A30F3" w:rsidP="001A30F3">
      <w:pPr>
        <w:spacing w:after="0" w:line="240" w:lineRule="auto"/>
        <w:jc w:val="both"/>
        <w:rPr>
          <w:sz w:val="23"/>
          <w:szCs w:val="23"/>
        </w:rPr>
      </w:pPr>
      <w:r w:rsidRPr="001A30F3">
        <w:rPr>
          <w:sz w:val="23"/>
          <w:szCs w:val="23"/>
        </w:rPr>
        <w:t xml:space="preserve"> “b) Asgari işçilik araştırma işlemi: Kamu idareleri, döner sermayeli kuruluşlar, kanunla kurulan kurum ve kuruluşlar ile bankalar tarafından ihale mevzuatına göre yaptırılan işler ve özel nitelikteki inşaat işlerine yönelik ilgili kurum ve kuruluşlardan elde edilen bilgi ve belgeler doğrultusunda; asgari işçilik hesaplaması yapılıp yapılmayacağının ve yapılacaksa yeterli işçilik bildirilip bildirilmediğine ilişkin Kurumca yapılan değerlendirme, kontrol ve hesaplama aşamalarını,”</w:t>
      </w:r>
    </w:p>
    <w:p w14:paraId="54A0B166" w14:textId="77777777" w:rsidR="001A30F3" w:rsidRPr="001A30F3" w:rsidRDefault="001A30F3" w:rsidP="001A30F3">
      <w:pPr>
        <w:spacing w:after="0" w:line="240" w:lineRule="auto"/>
        <w:jc w:val="both"/>
        <w:rPr>
          <w:sz w:val="23"/>
          <w:szCs w:val="23"/>
        </w:rPr>
      </w:pPr>
    </w:p>
    <w:p w14:paraId="33C28579" w14:textId="77777777" w:rsidR="001A30F3" w:rsidRPr="001A30F3" w:rsidRDefault="001A30F3" w:rsidP="001A30F3">
      <w:pPr>
        <w:spacing w:after="0" w:line="240" w:lineRule="auto"/>
        <w:jc w:val="both"/>
        <w:rPr>
          <w:sz w:val="23"/>
          <w:szCs w:val="23"/>
        </w:rPr>
      </w:pPr>
      <w:r w:rsidRPr="001A30F3">
        <w:rPr>
          <w:b/>
          <w:bCs/>
          <w:sz w:val="23"/>
          <w:szCs w:val="23"/>
        </w:rPr>
        <w:t>MADDE 2-</w:t>
      </w:r>
      <w:r w:rsidRPr="001A30F3">
        <w:rPr>
          <w:sz w:val="23"/>
          <w:szCs w:val="23"/>
        </w:rPr>
        <w:t xml:space="preserve"> Aynı Yönetmeliğin </w:t>
      </w:r>
      <w:proofErr w:type="gramStart"/>
      <w:r w:rsidRPr="001A30F3">
        <w:rPr>
          <w:sz w:val="23"/>
          <w:szCs w:val="23"/>
        </w:rPr>
        <w:t>27 nci</w:t>
      </w:r>
      <w:proofErr w:type="gramEnd"/>
      <w:r w:rsidRPr="001A30F3">
        <w:rPr>
          <w:sz w:val="23"/>
          <w:szCs w:val="23"/>
        </w:rPr>
        <w:t xml:space="preserve"> maddesinin sekizinci fıkrası aşağıdaki şekilde değiştirilmiştir.</w:t>
      </w:r>
    </w:p>
    <w:p w14:paraId="4887509E" w14:textId="77777777" w:rsidR="001A30F3" w:rsidRPr="001A30F3" w:rsidRDefault="001A30F3" w:rsidP="001A30F3">
      <w:pPr>
        <w:spacing w:after="0" w:line="240" w:lineRule="auto"/>
        <w:jc w:val="both"/>
        <w:rPr>
          <w:sz w:val="23"/>
          <w:szCs w:val="23"/>
        </w:rPr>
      </w:pPr>
    </w:p>
    <w:p w14:paraId="0A2C9930" w14:textId="77777777" w:rsidR="001A30F3" w:rsidRPr="001A30F3" w:rsidRDefault="001A30F3" w:rsidP="001A30F3">
      <w:pPr>
        <w:spacing w:after="0" w:line="240" w:lineRule="auto"/>
        <w:jc w:val="both"/>
        <w:rPr>
          <w:sz w:val="23"/>
          <w:szCs w:val="23"/>
        </w:rPr>
      </w:pPr>
      <w:r w:rsidRPr="001A30F3">
        <w:rPr>
          <w:sz w:val="23"/>
          <w:szCs w:val="23"/>
        </w:rPr>
        <w:t xml:space="preserve"> “(8) Aynı işveren tarafından yaptırılan ve birden fazla yapı ruhsatı bulunan özel nitelikteki bina inşaatı işyerlerinde, parsellerinin bitişik ya da yakın olması, işveren tarafından ilk işin başlangıç tarihinden itibaren altı aylık süre içerisinde talepte bulunulması ve sigortalıların birbirine karışması şartıyla inşaatların tek sicil numarasında yürütülmesine ünitece izin verilebilir.”</w:t>
      </w:r>
    </w:p>
    <w:p w14:paraId="6BFD8D78" w14:textId="77777777" w:rsidR="001A30F3" w:rsidRPr="001A30F3" w:rsidRDefault="001A30F3" w:rsidP="001A30F3">
      <w:pPr>
        <w:spacing w:after="0" w:line="240" w:lineRule="auto"/>
        <w:jc w:val="both"/>
        <w:rPr>
          <w:sz w:val="23"/>
          <w:szCs w:val="23"/>
        </w:rPr>
      </w:pPr>
    </w:p>
    <w:p w14:paraId="792915EC" w14:textId="77777777" w:rsidR="001A30F3" w:rsidRPr="001A30F3" w:rsidRDefault="001A30F3" w:rsidP="001A30F3">
      <w:pPr>
        <w:spacing w:after="0" w:line="240" w:lineRule="auto"/>
        <w:jc w:val="both"/>
        <w:rPr>
          <w:sz w:val="23"/>
          <w:szCs w:val="23"/>
        </w:rPr>
      </w:pPr>
      <w:r w:rsidRPr="001A30F3">
        <w:rPr>
          <w:b/>
          <w:bCs/>
          <w:sz w:val="23"/>
          <w:szCs w:val="23"/>
        </w:rPr>
        <w:t>MADDE 3-</w:t>
      </w:r>
      <w:r w:rsidRPr="001A30F3">
        <w:rPr>
          <w:sz w:val="23"/>
          <w:szCs w:val="23"/>
        </w:rPr>
        <w:t xml:space="preserve"> Aynı Yönetmeliğin 110 uncu maddesinin birinci ve altıncı fıkralarına sırasıyla aşağıdaki cümleler eklenmiş, ikinci fıkrasında yer alan “sözleşmesinde” ibareleri “sözleşmesinde veya şartnamesinde” şeklinde, “sözleşmesi” ibaresi “sözleşme veya şartnamesi” şeklinde değiştirilmiş ve aynı maddeye aşağıdaki fıkra eklenmiştir.</w:t>
      </w:r>
    </w:p>
    <w:p w14:paraId="383AFD24" w14:textId="77777777" w:rsidR="001A30F3" w:rsidRPr="001A30F3" w:rsidRDefault="001A30F3" w:rsidP="001A30F3">
      <w:pPr>
        <w:spacing w:after="0" w:line="240" w:lineRule="auto"/>
        <w:jc w:val="both"/>
        <w:rPr>
          <w:sz w:val="23"/>
          <w:szCs w:val="23"/>
        </w:rPr>
      </w:pPr>
    </w:p>
    <w:p w14:paraId="4A0E120A" w14:textId="77777777" w:rsidR="001A30F3" w:rsidRPr="001A30F3" w:rsidRDefault="001A30F3" w:rsidP="001A30F3">
      <w:pPr>
        <w:spacing w:after="0" w:line="240" w:lineRule="auto"/>
        <w:jc w:val="both"/>
        <w:rPr>
          <w:sz w:val="23"/>
          <w:szCs w:val="23"/>
        </w:rPr>
      </w:pPr>
      <w:r w:rsidRPr="001A30F3">
        <w:rPr>
          <w:sz w:val="23"/>
          <w:szCs w:val="23"/>
        </w:rPr>
        <w:t>“İşin geçici kabulü noksansız yapılmakla birlikte işverene ödenmesi gereken toplam istihkak tutarının bildirilmemesi ve işverence talep edilmesi halinde, işverene ödenen hakediş tutarı üzerinden araştırma yapılabilir. Ancak, ilişiksizlik belgesi düzenlenmez. Daha sonraki bir tarihte ihale makamı tarafından ödenmesi gereken toplam istihkak tutarının bildirilmesi durumunda, daha önce araştırma yapılan tutar toplam istihkak bedelinden düşülerek kalan tutar üzerinden yapılan araştırma sonucu ilişiksizlik belgesi düzenlenir.”</w:t>
      </w:r>
    </w:p>
    <w:p w14:paraId="18D6D9CF" w14:textId="77777777" w:rsidR="001A30F3" w:rsidRPr="001A30F3" w:rsidRDefault="001A30F3" w:rsidP="001A30F3">
      <w:pPr>
        <w:spacing w:after="0" w:line="240" w:lineRule="auto"/>
        <w:jc w:val="both"/>
        <w:rPr>
          <w:sz w:val="23"/>
          <w:szCs w:val="23"/>
        </w:rPr>
      </w:pPr>
    </w:p>
    <w:p w14:paraId="056E9B51" w14:textId="77777777" w:rsidR="001A30F3" w:rsidRPr="001A30F3" w:rsidRDefault="001A30F3" w:rsidP="001A30F3">
      <w:pPr>
        <w:spacing w:after="0" w:line="240" w:lineRule="auto"/>
        <w:jc w:val="both"/>
        <w:rPr>
          <w:sz w:val="23"/>
          <w:szCs w:val="23"/>
        </w:rPr>
      </w:pPr>
      <w:r w:rsidRPr="001A30F3">
        <w:rPr>
          <w:sz w:val="23"/>
          <w:szCs w:val="23"/>
        </w:rPr>
        <w:t>“İhale makamı tarafından onaylanmış geçici kabul tutanağında ihale konusu işe ilişkin eksik veya kusur bulunmadığının belirtilmesi halinde tutanakta belirtilen iş bitim tarihi, tutanakta eksik veya kusur tespit edilmesi halinde ise eksik ve kusurların tamamlandığı tarih, iş bitim tarihi olarak kabul edilir. İşin geçici veya kesin kabule tabi olmaması durumunda ise ihale makamı tarafından bildirilen iş bitim tarihine göre işlem yapılır.”</w:t>
      </w:r>
    </w:p>
    <w:p w14:paraId="7F491FFB" w14:textId="77777777" w:rsidR="001A30F3" w:rsidRPr="001A30F3" w:rsidRDefault="001A30F3" w:rsidP="001A30F3">
      <w:pPr>
        <w:spacing w:after="0" w:line="240" w:lineRule="auto"/>
        <w:jc w:val="both"/>
        <w:rPr>
          <w:sz w:val="23"/>
          <w:szCs w:val="23"/>
        </w:rPr>
      </w:pPr>
    </w:p>
    <w:p w14:paraId="335CCACF" w14:textId="77777777" w:rsidR="001A30F3" w:rsidRPr="001A30F3" w:rsidRDefault="001A30F3" w:rsidP="001A30F3">
      <w:pPr>
        <w:spacing w:after="0" w:line="240" w:lineRule="auto"/>
        <w:jc w:val="both"/>
        <w:rPr>
          <w:sz w:val="23"/>
          <w:szCs w:val="23"/>
        </w:rPr>
      </w:pPr>
      <w:r w:rsidRPr="001A30F3">
        <w:rPr>
          <w:sz w:val="23"/>
          <w:szCs w:val="23"/>
        </w:rPr>
        <w:t xml:space="preserve"> “(7) İhaleli işin yarım kalması veya ihalenin feshedilmesi durumunda, işverene ödenen hakediş tutarı üzerinden araştırma işlemi yapılır. Herhangi bir hakediş ödemesi yapılmamış ise araştırma işlemi yapılmaz.”</w:t>
      </w:r>
    </w:p>
    <w:p w14:paraId="09DD2CF6" w14:textId="77777777" w:rsidR="001A30F3" w:rsidRPr="001A30F3" w:rsidRDefault="001A30F3" w:rsidP="001A30F3">
      <w:pPr>
        <w:spacing w:after="0" w:line="240" w:lineRule="auto"/>
        <w:jc w:val="both"/>
        <w:rPr>
          <w:sz w:val="23"/>
          <w:szCs w:val="23"/>
        </w:rPr>
      </w:pPr>
    </w:p>
    <w:p w14:paraId="7F9C3229" w14:textId="77777777" w:rsidR="001A30F3" w:rsidRDefault="001A30F3" w:rsidP="001A30F3">
      <w:pPr>
        <w:spacing w:after="0" w:line="240" w:lineRule="auto"/>
        <w:jc w:val="both"/>
        <w:rPr>
          <w:b/>
          <w:bCs/>
          <w:sz w:val="23"/>
          <w:szCs w:val="23"/>
        </w:rPr>
      </w:pPr>
    </w:p>
    <w:p w14:paraId="051290F8" w14:textId="49D15AFB" w:rsidR="001A30F3" w:rsidRPr="001A30F3" w:rsidRDefault="001A30F3" w:rsidP="001A30F3">
      <w:pPr>
        <w:spacing w:after="0" w:line="240" w:lineRule="auto"/>
        <w:jc w:val="both"/>
        <w:rPr>
          <w:sz w:val="23"/>
          <w:szCs w:val="23"/>
        </w:rPr>
      </w:pPr>
      <w:r w:rsidRPr="001A30F3">
        <w:rPr>
          <w:b/>
          <w:bCs/>
          <w:sz w:val="23"/>
          <w:szCs w:val="23"/>
        </w:rPr>
        <w:lastRenderedPageBreak/>
        <w:t>MADDE 4-</w:t>
      </w:r>
      <w:r w:rsidRPr="001A30F3">
        <w:rPr>
          <w:sz w:val="23"/>
          <w:szCs w:val="23"/>
        </w:rPr>
        <w:t xml:space="preserve"> Aynı Yönetmeliğin 111 inci maddesinin ikinci fıkrasında yer alan “Bina maliyeti” ibaresi “İnşaat maliyeti” şeklinde, üçüncü fıkrasında yer alan “Çevre ve Şehircilik Bakanlığınca” ibaresi “Çevre, Şehircilik ve İklim Değişikliği Bakanlığınca” şeklinde, dördüncü ve altıncı fıkraları aşağıdaki şekilde değiştirilmiş ve aynı maddeye aşağıdaki fıkra eklenmiştir.</w:t>
      </w:r>
    </w:p>
    <w:p w14:paraId="34502507" w14:textId="77777777" w:rsidR="001A30F3" w:rsidRPr="001A30F3" w:rsidRDefault="001A30F3" w:rsidP="001A30F3">
      <w:pPr>
        <w:spacing w:after="0" w:line="240" w:lineRule="auto"/>
        <w:jc w:val="both"/>
        <w:rPr>
          <w:sz w:val="23"/>
          <w:szCs w:val="23"/>
        </w:rPr>
      </w:pPr>
    </w:p>
    <w:p w14:paraId="01A95A75" w14:textId="77777777" w:rsidR="001A30F3" w:rsidRPr="001A30F3" w:rsidRDefault="001A30F3" w:rsidP="001A30F3">
      <w:pPr>
        <w:spacing w:after="0" w:line="240" w:lineRule="auto"/>
        <w:jc w:val="both"/>
        <w:rPr>
          <w:sz w:val="23"/>
          <w:szCs w:val="23"/>
        </w:rPr>
      </w:pPr>
      <w:r w:rsidRPr="001A30F3">
        <w:rPr>
          <w:sz w:val="23"/>
          <w:szCs w:val="23"/>
        </w:rPr>
        <w:t>“(4) İş bitim tarihinde geçerli olan yapı ruhsatı esas alınarak araştırma işlemi yapılır.”</w:t>
      </w:r>
    </w:p>
    <w:p w14:paraId="58FFF6F8" w14:textId="77777777" w:rsidR="001A30F3" w:rsidRPr="001A30F3" w:rsidRDefault="001A30F3" w:rsidP="001A30F3">
      <w:pPr>
        <w:spacing w:after="0" w:line="240" w:lineRule="auto"/>
        <w:jc w:val="both"/>
        <w:rPr>
          <w:sz w:val="23"/>
          <w:szCs w:val="23"/>
        </w:rPr>
      </w:pPr>
    </w:p>
    <w:p w14:paraId="6EB27856" w14:textId="77777777" w:rsidR="001A30F3" w:rsidRPr="001A30F3" w:rsidRDefault="001A30F3" w:rsidP="001A30F3">
      <w:pPr>
        <w:spacing w:after="0" w:line="240" w:lineRule="auto"/>
        <w:jc w:val="both"/>
        <w:rPr>
          <w:sz w:val="23"/>
          <w:szCs w:val="23"/>
        </w:rPr>
      </w:pPr>
      <w:r w:rsidRPr="001A30F3">
        <w:rPr>
          <w:sz w:val="23"/>
          <w:szCs w:val="23"/>
        </w:rPr>
        <w:t>“(6) Başladığı yıl içinde bitirilmiş olan inşaat maliyetinin hesaplanmasında inşaatın bittiği tarihte geçerli olan birim maliyet bedeli esas alınır. Başladığı yıldan sonraki yıllarda bitirilmiş inşaat maliyetinin hesabında ise; inşaatın bitirildiği yıl hariç olmak üzere, inşaatın başladığı yıl ile bitirildiği yıl arasındaki tüm yıllara ait birim maliyet bedellerinin aritmetik ortalaması sonucu bulunan birim maliyet bedeli esas alınır. Birden fazla birim maliyet bedelinin yayımlandığı yıl olması halinde, aritmetik ortalama hesabında o yıl içerisinde yayımlanan son birim maliyet bedeli dikkate alınır.”</w:t>
      </w:r>
    </w:p>
    <w:p w14:paraId="4FBF644B" w14:textId="77777777" w:rsidR="001A30F3" w:rsidRPr="001A30F3" w:rsidRDefault="001A30F3" w:rsidP="001A30F3">
      <w:pPr>
        <w:spacing w:after="0" w:line="240" w:lineRule="auto"/>
        <w:jc w:val="both"/>
        <w:rPr>
          <w:sz w:val="23"/>
          <w:szCs w:val="23"/>
        </w:rPr>
      </w:pPr>
    </w:p>
    <w:p w14:paraId="7C775E32" w14:textId="77777777" w:rsidR="001A30F3" w:rsidRPr="001A30F3" w:rsidRDefault="001A30F3" w:rsidP="001A30F3">
      <w:pPr>
        <w:spacing w:after="0" w:line="240" w:lineRule="auto"/>
        <w:jc w:val="both"/>
        <w:rPr>
          <w:sz w:val="23"/>
          <w:szCs w:val="23"/>
        </w:rPr>
      </w:pPr>
      <w:r w:rsidRPr="001A30F3">
        <w:rPr>
          <w:sz w:val="23"/>
          <w:szCs w:val="23"/>
        </w:rPr>
        <w:t xml:space="preserve"> “(10) Kapanma, terk veya tasfiye olmadığı hâlde en az iki yıl süre ile sigortalı çalıştırılmadığı işveren tarafından bildirilen veya Kurumca tespit edilen özel nitelikteki inşaat işyerlerinde, sigortalı çalıştırılmaya son verilen tarih itibarıyla ünitece </w:t>
      </w:r>
      <w:proofErr w:type="spellStart"/>
      <w:r w:rsidRPr="001A30F3">
        <w:rPr>
          <w:sz w:val="23"/>
          <w:szCs w:val="23"/>
        </w:rPr>
        <w:t>re’sen</w:t>
      </w:r>
      <w:proofErr w:type="spellEnd"/>
      <w:r w:rsidRPr="001A30F3">
        <w:rPr>
          <w:sz w:val="23"/>
          <w:szCs w:val="23"/>
        </w:rPr>
        <w:t xml:space="preserve"> araştırma işlemi yapılır.”</w:t>
      </w:r>
    </w:p>
    <w:p w14:paraId="0A6592E9" w14:textId="77777777" w:rsidR="001A30F3" w:rsidRPr="001A30F3" w:rsidRDefault="001A30F3" w:rsidP="001A30F3">
      <w:pPr>
        <w:spacing w:after="0" w:line="240" w:lineRule="auto"/>
        <w:jc w:val="both"/>
        <w:rPr>
          <w:sz w:val="23"/>
          <w:szCs w:val="23"/>
        </w:rPr>
      </w:pPr>
    </w:p>
    <w:p w14:paraId="75C1BA1A" w14:textId="77777777" w:rsidR="001A30F3" w:rsidRPr="001A30F3" w:rsidRDefault="001A30F3" w:rsidP="001A30F3">
      <w:pPr>
        <w:spacing w:after="0" w:line="240" w:lineRule="auto"/>
        <w:jc w:val="both"/>
        <w:rPr>
          <w:sz w:val="23"/>
          <w:szCs w:val="23"/>
        </w:rPr>
      </w:pPr>
      <w:r w:rsidRPr="001A30F3">
        <w:rPr>
          <w:b/>
          <w:bCs/>
          <w:sz w:val="23"/>
          <w:szCs w:val="23"/>
        </w:rPr>
        <w:t>MADDE 5-</w:t>
      </w:r>
      <w:r w:rsidRPr="001A30F3">
        <w:rPr>
          <w:sz w:val="23"/>
          <w:szCs w:val="23"/>
        </w:rPr>
        <w:t xml:space="preserve"> Aynı Yönetmeliğin </w:t>
      </w:r>
      <w:proofErr w:type="gramStart"/>
      <w:r w:rsidRPr="001A30F3">
        <w:rPr>
          <w:sz w:val="23"/>
          <w:szCs w:val="23"/>
        </w:rPr>
        <w:t>112 nci</w:t>
      </w:r>
      <w:proofErr w:type="gramEnd"/>
      <w:r w:rsidRPr="001A30F3">
        <w:rPr>
          <w:sz w:val="23"/>
          <w:szCs w:val="23"/>
        </w:rPr>
        <w:t xml:space="preserve"> maddesinin ikinci ve üçüncü fıkraları aşağıdaki şekilde değiştirilmiş ve aynı maddeye aşağıdaki fıkra eklenmiştir.</w:t>
      </w:r>
    </w:p>
    <w:p w14:paraId="240D5FE6" w14:textId="77777777" w:rsidR="001A30F3" w:rsidRPr="001A30F3" w:rsidRDefault="001A30F3" w:rsidP="001A30F3">
      <w:pPr>
        <w:spacing w:after="0" w:line="240" w:lineRule="auto"/>
        <w:jc w:val="both"/>
        <w:rPr>
          <w:sz w:val="23"/>
          <w:szCs w:val="23"/>
        </w:rPr>
      </w:pPr>
    </w:p>
    <w:p w14:paraId="3024B620" w14:textId="77777777" w:rsidR="001A30F3" w:rsidRPr="001A30F3" w:rsidRDefault="001A30F3" w:rsidP="001A30F3">
      <w:pPr>
        <w:spacing w:after="0" w:line="240" w:lineRule="auto"/>
        <w:jc w:val="both"/>
        <w:rPr>
          <w:sz w:val="23"/>
          <w:szCs w:val="23"/>
        </w:rPr>
      </w:pPr>
      <w:r w:rsidRPr="001A30F3">
        <w:rPr>
          <w:sz w:val="23"/>
          <w:szCs w:val="23"/>
        </w:rPr>
        <w:t>“(2) Tescil edilmemiş veya tescil edilmiş olmakla birlikte işçilik bildiriminde bulunulmamış olan ihale konusu işler ile özel nitelikteki inşaat işyerlerinde, işin başlangıç ve bitiş tarihleri, ilgili idarelerden alınacak belgelerle tespit edilerek işin yürütümü için gerekli olan asgari işçilik miktarının tespitine ilişkin araştırma işlemi ünitece yapılır. Ünitelerce bu nitelikteki işyerlerinde yapılan araştırma işleminde esas alınan asgari işçilik oranında eksiltme yapılmaz.</w:t>
      </w:r>
    </w:p>
    <w:p w14:paraId="0B6BAC9D" w14:textId="77777777" w:rsidR="001A30F3" w:rsidRPr="001A30F3" w:rsidRDefault="001A30F3" w:rsidP="001A30F3">
      <w:pPr>
        <w:spacing w:after="0" w:line="240" w:lineRule="auto"/>
        <w:jc w:val="both"/>
        <w:rPr>
          <w:sz w:val="23"/>
          <w:szCs w:val="23"/>
        </w:rPr>
      </w:pPr>
    </w:p>
    <w:p w14:paraId="3CC9C559" w14:textId="77777777" w:rsidR="001A30F3" w:rsidRPr="001A30F3" w:rsidRDefault="001A30F3" w:rsidP="001A30F3">
      <w:pPr>
        <w:spacing w:after="0" w:line="240" w:lineRule="auto"/>
        <w:jc w:val="both"/>
        <w:rPr>
          <w:sz w:val="23"/>
          <w:szCs w:val="23"/>
        </w:rPr>
      </w:pPr>
      <w:r w:rsidRPr="001A30F3">
        <w:rPr>
          <w:sz w:val="23"/>
          <w:szCs w:val="23"/>
        </w:rPr>
        <w:t>(3) Ünitece ihale konusu işlerde yapılan araştırma sonucunda 110 uncu maddeye göre tespit edilen ve Kuruma bildirilmediği anlaşılan asgari işçilik miktarı üzerinden, gerçek veya tüzel kişiler ile tüzel kişiliği haiz olmayan kurum ve kuruluşlarca yapılan özel nitelikteki inşaat işyerlerinde ise 111 inci madde uyarınca hesaplanan prim tutarı, aksine bir tespit olmaması hâlinde, iş bitim tarihinin bulunduğu aya  mal edilerek tahakkuk ettirilmek suretiyle gecikme cezası ve gecikme zammı ile birlikte ödenmek üzere işverene tebliğ olunur. İşverence borcun tebliğ tarihinden itibaren bir ay içinde ödenmesi, taahhütname verilmesi veya itirazda bulunulmaması halinde borç kesinleşir ve işlemler sonuçlandırılır.”</w:t>
      </w:r>
    </w:p>
    <w:p w14:paraId="23A4B7A8" w14:textId="77777777" w:rsidR="001A30F3" w:rsidRPr="001A30F3" w:rsidRDefault="001A30F3" w:rsidP="001A30F3">
      <w:pPr>
        <w:spacing w:after="0" w:line="240" w:lineRule="auto"/>
        <w:jc w:val="both"/>
        <w:rPr>
          <w:sz w:val="23"/>
          <w:szCs w:val="23"/>
        </w:rPr>
      </w:pPr>
    </w:p>
    <w:p w14:paraId="01267716" w14:textId="77777777" w:rsidR="001A30F3" w:rsidRPr="001A30F3" w:rsidRDefault="001A30F3" w:rsidP="001A30F3">
      <w:pPr>
        <w:spacing w:after="0" w:line="240" w:lineRule="auto"/>
        <w:jc w:val="both"/>
        <w:rPr>
          <w:sz w:val="23"/>
          <w:szCs w:val="23"/>
        </w:rPr>
      </w:pPr>
      <w:r w:rsidRPr="001A30F3">
        <w:rPr>
          <w:sz w:val="23"/>
          <w:szCs w:val="23"/>
        </w:rPr>
        <w:t>“(11) İhale konusu ve özel nitelikteki inşaat işlerinde hangi hallerde ünitece araştırma işlemi yapılacağı Kurumca belirlenir.”</w:t>
      </w:r>
    </w:p>
    <w:p w14:paraId="3BB32C4F" w14:textId="77777777" w:rsidR="001A30F3" w:rsidRPr="001A30F3" w:rsidRDefault="001A30F3" w:rsidP="001A30F3">
      <w:pPr>
        <w:spacing w:after="0" w:line="240" w:lineRule="auto"/>
        <w:jc w:val="both"/>
        <w:rPr>
          <w:sz w:val="23"/>
          <w:szCs w:val="23"/>
        </w:rPr>
      </w:pPr>
    </w:p>
    <w:p w14:paraId="63B797B5" w14:textId="77777777" w:rsidR="001A30F3" w:rsidRPr="001A30F3" w:rsidRDefault="001A30F3" w:rsidP="001A30F3">
      <w:pPr>
        <w:spacing w:after="0" w:line="240" w:lineRule="auto"/>
        <w:jc w:val="both"/>
        <w:rPr>
          <w:sz w:val="23"/>
          <w:szCs w:val="23"/>
        </w:rPr>
      </w:pPr>
      <w:r w:rsidRPr="001A30F3">
        <w:rPr>
          <w:b/>
          <w:bCs/>
          <w:sz w:val="23"/>
          <w:szCs w:val="23"/>
        </w:rPr>
        <w:t>MADDE 6-</w:t>
      </w:r>
      <w:r w:rsidRPr="001A30F3">
        <w:rPr>
          <w:sz w:val="23"/>
          <w:szCs w:val="23"/>
        </w:rPr>
        <w:t xml:space="preserve"> Bu Yönetmelik yayımı tarihinde yürürlüğe girer.</w:t>
      </w:r>
    </w:p>
    <w:p w14:paraId="1543EB39" w14:textId="77777777" w:rsidR="001A30F3" w:rsidRPr="001A30F3" w:rsidRDefault="001A30F3" w:rsidP="001A30F3">
      <w:pPr>
        <w:spacing w:after="0" w:line="240" w:lineRule="auto"/>
        <w:jc w:val="both"/>
        <w:rPr>
          <w:sz w:val="23"/>
          <w:szCs w:val="23"/>
        </w:rPr>
      </w:pPr>
    </w:p>
    <w:p w14:paraId="3FF2DD2B" w14:textId="69A3B5D5" w:rsidR="00D269A5" w:rsidRPr="001A30F3" w:rsidRDefault="001A30F3" w:rsidP="001A30F3">
      <w:pPr>
        <w:spacing w:after="0" w:line="240" w:lineRule="auto"/>
        <w:jc w:val="both"/>
        <w:rPr>
          <w:sz w:val="23"/>
          <w:szCs w:val="23"/>
        </w:rPr>
      </w:pPr>
      <w:r w:rsidRPr="001A30F3">
        <w:rPr>
          <w:b/>
          <w:bCs/>
          <w:sz w:val="23"/>
          <w:szCs w:val="23"/>
        </w:rPr>
        <w:t>MADDE 7-</w:t>
      </w:r>
      <w:r w:rsidRPr="001A30F3">
        <w:rPr>
          <w:sz w:val="23"/>
          <w:szCs w:val="23"/>
        </w:rPr>
        <w:t xml:space="preserve"> Bu Yönetmelik hükümlerini Sosyal Güvenlik Kurumu Başkanı yürütür.</w:t>
      </w:r>
    </w:p>
    <w:sectPr w:rsidR="00D269A5" w:rsidRPr="001A30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A5"/>
    <w:rsid w:val="000C1D85"/>
    <w:rsid w:val="001A30F3"/>
    <w:rsid w:val="00D269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8672"/>
  <w15:chartTrackingRefBased/>
  <w15:docId w15:val="{61064EF3-9E1C-4371-AFC7-5294345B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26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26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269A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269A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269A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269A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269A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269A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269A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69A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269A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269A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269A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269A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269A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269A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269A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269A5"/>
    <w:rPr>
      <w:rFonts w:eastAsiaTheme="majorEastAsia" w:cstheme="majorBidi"/>
      <w:color w:val="272727" w:themeColor="text1" w:themeTint="D8"/>
    </w:rPr>
  </w:style>
  <w:style w:type="paragraph" w:styleId="KonuBal">
    <w:name w:val="Title"/>
    <w:basedOn w:val="Normal"/>
    <w:next w:val="Normal"/>
    <w:link w:val="KonuBalChar"/>
    <w:uiPriority w:val="10"/>
    <w:qFormat/>
    <w:rsid w:val="00D269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269A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269A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269A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269A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269A5"/>
    <w:rPr>
      <w:i/>
      <w:iCs/>
      <w:color w:val="404040" w:themeColor="text1" w:themeTint="BF"/>
    </w:rPr>
  </w:style>
  <w:style w:type="paragraph" w:styleId="ListeParagraf">
    <w:name w:val="List Paragraph"/>
    <w:basedOn w:val="Normal"/>
    <w:uiPriority w:val="34"/>
    <w:qFormat/>
    <w:rsid w:val="00D269A5"/>
    <w:pPr>
      <w:ind w:left="720"/>
      <w:contextualSpacing/>
    </w:pPr>
  </w:style>
  <w:style w:type="character" w:styleId="GlVurgulama">
    <w:name w:val="Intense Emphasis"/>
    <w:basedOn w:val="VarsaylanParagrafYazTipi"/>
    <w:uiPriority w:val="21"/>
    <w:qFormat/>
    <w:rsid w:val="00D269A5"/>
    <w:rPr>
      <w:i/>
      <w:iCs/>
      <w:color w:val="0F4761" w:themeColor="accent1" w:themeShade="BF"/>
    </w:rPr>
  </w:style>
  <w:style w:type="paragraph" w:styleId="GlAlnt">
    <w:name w:val="Intense Quote"/>
    <w:basedOn w:val="Normal"/>
    <w:next w:val="Normal"/>
    <w:link w:val="GlAlntChar"/>
    <w:uiPriority w:val="30"/>
    <w:qFormat/>
    <w:rsid w:val="00D26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269A5"/>
    <w:rPr>
      <w:i/>
      <w:iCs/>
      <w:color w:val="0F4761" w:themeColor="accent1" w:themeShade="BF"/>
    </w:rPr>
  </w:style>
  <w:style w:type="character" w:styleId="GlBavuru">
    <w:name w:val="Intense Reference"/>
    <w:basedOn w:val="VarsaylanParagrafYazTipi"/>
    <w:uiPriority w:val="32"/>
    <w:qFormat/>
    <w:rsid w:val="00D269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807306">
      <w:bodyDiv w:val="1"/>
      <w:marLeft w:val="0"/>
      <w:marRight w:val="0"/>
      <w:marTop w:val="0"/>
      <w:marBottom w:val="0"/>
      <w:divBdr>
        <w:top w:val="none" w:sz="0" w:space="0" w:color="auto"/>
        <w:left w:val="none" w:sz="0" w:space="0" w:color="auto"/>
        <w:bottom w:val="none" w:sz="0" w:space="0" w:color="auto"/>
        <w:right w:val="none" w:sz="0" w:space="0" w:color="auto"/>
      </w:divBdr>
    </w:div>
    <w:div w:id="1825004483">
      <w:bodyDiv w:val="1"/>
      <w:marLeft w:val="0"/>
      <w:marRight w:val="0"/>
      <w:marTop w:val="0"/>
      <w:marBottom w:val="0"/>
      <w:divBdr>
        <w:top w:val="none" w:sz="0" w:space="0" w:color="auto"/>
        <w:left w:val="none" w:sz="0" w:space="0" w:color="auto"/>
        <w:bottom w:val="none" w:sz="0" w:space="0" w:color="auto"/>
        <w:right w:val="none" w:sz="0" w:space="0" w:color="auto"/>
      </w:divBdr>
    </w:div>
    <w:div w:id="20307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867</Words>
  <Characters>4943</Characters>
  <Application>Microsoft Office Word</Application>
  <DocSecurity>0</DocSecurity>
  <Lines>41</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 BETÜL ÇOLAK</dc:creator>
  <cp:keywords/>
  <dc:description/>
  <cp:lastModifiedBy>SALİHA BETÜL ÇOLAK</cp:lastModifiedBy>
  <cp:revision>2</cp:revision>
  <dcterms:created xsi:type="dcterms:W3CDTF">2026-05-16T08:34:00Z</dcterms:created>
  <dcterms:modified xsi:type="dcterms:W3CDTF">2026-05-16T08:36:00Z</dcterms:modified>
</cp:coreProperties>
</file>